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00.xml" ContentType="application/vnd.openxmlformats-officedocument.themeOverride+xml"/>
  <Override PartName="/word/theme/themeOverride101.xml" ContentType="application/vnd.openxmlformats-officedocument.themeOverride+xml"/>
  <Override PartName="/word/theme/themeOverride102.xml" ContentType="application/vnd.openxmlformats-officedocument.themeOverride+xml"/>
  <Override PartName="/word/theme/themeOverride103.xml" ContentType="application/vnd.openxmlformats-officedocument.themeOverride+xml"/>
  <Override PartName="/word/theme/themeOverride104.xml" ContentType="application/vnd.openxmlformats-officedocument.themeOverride+xml"/>
  <Override PartName="/word/theme/themeOverride105.xml" ContentType="application/vnd.openxmlformats-officedocument.themeOverride+xml"/>
  <Override PartName="/word/theme/themeOverride106.xml" ContentType="application/vnd.openxmlformats-officedocument.themeOverride+xml"/>
  <Override PartName="/word/theme/themeOverride107.xml" ContentType="application/vnd.openxmlformats-officedocument.themeOverride+xml"/>
  <Override PartName="/word/theme/themeOverride108.xml" ContentType="application/vnd.openxmlformats-officedocument.themeOverride+xml"/>
  <Override PartName="/word/theme/themeOverride109.xml" ContentType="application/vnd.openxmlformats-officedocument.themeOverride+xml"/>
  <Override PartName="/word/theme/themeOverride11.xml" ContentType="application/vnd.openxmlformats-officedocument.themeOverride+xml"/>
  <Override PartName="/word/theme/themeOverride110.xml" ContentType="application/vnd.openxmlformats-officedocument.themeOverride+xml"/>
  <Override PartName="/word/theme/themeOverride111.xml" ContentType="application/vnd.openxmlformats-officedocument.themeOverride+xml"/>
  <Override PartName="/word/theme/themeOverride112.xml" ContentType="application/vnd.openxmlformats-officedocument.themeOverride+xml"/>
  <Override PartName="/word/theme/themeOverride113.xml" ContentType="application/vnd.openxmlformats-officedocument.themeOverride+xml"/>
  <Override PartName="/word/theme/themeOverride114.xml" ContentType="application/vnd.openxmlformats-officedocument.themeOverride+xml"/>
  <Override PartName="/word/theme/themeOverride115.xml" ContentType="application/vnd.openxmlformats-officedocument.themeOverride+xml"/>
  <Override PartName="/word/theme/themeOverride116.xml" ContentType="application/vnd.openxmlformats-officedocument.themeOverride+xml"/>
  <Override PartName="/word/theme/themeOverride117.xml" ContentType="application/vnd.openxmlformats-officedocument.themeOverride+xml"/>
  <Override PartName="/word/theme/themeOverride118.xml" ContentType="application/vnd.openxmlformats-officedocument.themeOverride+xml"/>
  <Override PartName="/word/theme/themeOverride119.xml" ContentType="application/vnd.openxmlformats-officedocument.themeOverride+xml"/>
  <Override PartName="/word/theme/themeOverride12.xml" ContentType="application/vnd.openxmlformats-officedocument.themeOverride+xml"/>
  <Override PartName="/word/theme/themeOverride120.xml" ContentType="application/vnd.openxmlformats-officedocument.themeOverride+xml"/>
  <Override PartName="/word/theme/themeOverride121.xml" ContentType="application/vnd.openxmlformats-officedocument.themeOverride+xml"/>
  <Override PartName="/word/theme/themeOverride122.xml" ContentType="application/vnd.openxmlformats-officedocument.themeOverride+xml"/>
  <Override PartName="/word/theme/themeOverride123.xml" ContentType="application/vnd.openxmlformats-officedocument.themeOverride+xml"/>
  <Override PartName="/word/theme/themeOverride124.xml" ContentType="application/vnd.openxmlformats-officedocument.themeOverride+xml"/>
  <Override PartName="/word/theme/themeOverride125.xml" ContentType="application/vnd.openxmlformats-officedocument.themeOverride+xml"/>
  <Override PartName="/word/theme/themeOverride126.xml" ContentType="application/vnd.openxmlformats-officedocument.themeOverride+xml"/>
  <Override PartName="/word/theme/themeOverride127.xml" ContentType="application/vnd.openxmlformats-officedocument.themeOverride+xml"/>
  <Override PartName="/word/theme/themeOverride128.xml" ContentType="application/vnd.openxmlformats-officedocument.themeOverride+xml"/>
  <Override PartName="/word/theme/themeOverride129.xml" ContentType="application/vnd.openxmlformats-officedocument.themeOverride+xml"/>
  <Override PartName="/word/theme/themeOverride13.xml" ContentType="application/vnd.openxmlformats-officedocument.themeOverride+xml"/>
  <Override PartName="/word/theme/themeOverride130.xml" ContentType="application/vnd.openxmlformats-officedocument.themeOverride+xml"/>
  <Override PartName="/word/theme/themeOverride131.xml" ContentType="application/vnd.openxmlformats-officedocument.themeOverride+xml"/>
  <Override PartName="/word/theme/themeOverride132.xml" ContentType="application/vnd.openxmlformats-officedocument.themeOverride+xml"/>
  <Override PartName="/word/theme/themeOverride133.xml" ContentType="application/vnd.openxmlformats-officedocument.themeOverride+xml"/>
  <Override PartName="/word/theme/themeOverride134.xml" ContentType="application/vnd.openxmlformats-officedocument.themeOverride+xml"/>
  <Override PartName="/word/theme/themeOverride135.xml" ContentType="application/vnd.openxmlformats-officedocument.themeOverride+xml"/>
  <Override PartName="/word/theme/themeOverride136.xml" ContentType="application/vnd.openxmlformats-officedocument.themeOverride+xml"/>
  <Override PartName="/word/theme/themeOverride137.xml" ContentType="application/vnd.openxmlformats-officedocument.themeOverride+xml"/>
  <Override PartName="/word/theme/themeOverride138.xml" ContentType="application/vnd.openxmlformats-officedocument.themeOverride+xml"/>
  <Override PartName="/word/theme/themeOverride139.xml" ContentType="application/vnd.openxmlformats-officedocument.themeOverride+xml"/>
  <Override PartName="/word/theme/themeOverride14.xml" ContentType="application/vnd.openxmlformats-officedocument.themeOverride+xml"/>
  <Override PartName="/word/theme/themeOverride140.xml" ContentType="application/vnd.openxmlformats-officedocument.themeOverride+xml"/>
  <Override PartName="/word/theme/themeOverride141.xml" ContentType="application/vnd.openxmlformats-officedocument.themeOverride+xml"/>
  <Override PartName="/word/theme/themeOverride142.xml" ContentType="application/vnd.openxmlformats-officedocument.themeOverride+xml"/>
  <Override PartName="/word/theme/themeOverride143.xml" ContentType="application/vnd.openxmlformats-officedocument.themeOverride+xml"/>
  <Override PartName="/word/theme/themeOverride144.xml" ContentType="application/vnd.openxmlformats-officedocument.themeOverride+xml"/>
  <Override PartName="/word/theme/themeOverride145.xml" ContentType="application/vnd.openxmlformats-officedocument.themeOverride+xml"/>
  <Override PartName="/word/theme/themeOverride146.xml" ContentType="application/vnd.openxmlformats-officedocument.themeOverride+xml"/>
  <Override PartName="/word/theme/themeOverride147.xml" ContentType="application/vnd.openxmlformats-officedocument.themeOverride+xml"/>
  <Override PartName="/word/theme/themeOverride148.xml" ContentType="application/vnd.openxmlformats-officedocument.themeOverride+xml"/>
  <Override PartName="/word/theme/themeOverride149.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72.xml" ContentType="application/vnd.openxmlformats-officedocument.themeOverride+xml"/>
  <Override PartName="/word/theme/themeOverride73.xml" ContentType="application/vnd.openxmlformats-officedocument.themeOverride+xml"/>
  <Override PartName="/word/theme/themeOverride74.xml" ContentType="application/vnd.openxmlformats-officedocument.themeOverride+xml"/>
  <Override PartName="/word/theme/themeOverride75.xml" ContentType="application/vnd.openxmlformats-officedocument.themeOverride+xml"/>
  <Override PartName="/word/theme/themeOverride76.xml" ContentType="application/vnd.openxmlformats-officedocument.themeOverride+xml"/>
  <Override PartName="/word/theme/themeOverride77.xml" ContentType="application/vnd.openxmlformats-officedocument.themeOverride+xml"/>
  <Override PartName="/word/theme/themeOverride78.xml" ContentType="application/vnd.openxmlformats-officedocument.themeOverride+xml"/>
  <Override PartName="/word/theme/themeOverride79.xml" ContentType="application/vnd.openxmlformats-officedocument.themeOverride+xml"/>
  <Override PartName="/word/theme/themeOverride8.xml" ContentType="application/vnd.openxmlformats-officedocument.themeOverride+xml"/>
  <Override PartName="/word/theme/themeOverride80.xml" ContentType="application/vnd.openxmlformats-officedocument.themeOverride+xml"/>
  <Override PartName="/word/theme/themeOverride81.xml" ContentType="application/vnd.openxmlformats-officedocument.themeOverride+xml"/>
  <Override PartName="/word/theme/themeOverride82.xml" ContentType="application/vnd.openxmlformats-officedocument.themeOverride+xml"/>
  <Override PartName="/word/theme/themeOverride83.xml" ContentType="application/vnd.openxmlformats-officedocument.themeOverride+xml"/>
  <Override PartName="/word/theme/themeOverride84.xml" ContentType="application/vnd.openxmlformats-officedocument.themeOverride+xml"/>
  <Override PartName="/word/theme/themeOverride85.xml" ContentType="application/vnd.openxmlformats-officedocument.themeOverride+xml"/>
  <Override PartName="/word/theme/themeOverride86.xml" ContentType="application/vnd.openxmlformats-officedocument.themeOverride+xml"/>
  <Override PartName="/word/theme/themeOverride87.xml" ContentType="application/vnd.openxmlformats-officedocument.themeOverride+xml"/>
  <Override PartName="/word/theme/themeOverride88.xml" ContentType="application/vnd.openxmlformats-officedocument.themeOverride+xml"/>
  <Override PartName="/word/theme/themeOverride89.xml" ContentType="application/vnd.openxmlformats-officedocument.themeOverride+xml"/>
  <Override PartName="/word/theme/themeOverride9.xml" ContentType="application/vnd.openxmlformats-officedocument.themeOverride+xml"/>
  <Override PartName="/word/theme/themeOverride90.xml" ContentType="application/vnd.openxmlformats-officedocument.themeOverride+xml"/>
  <Override PartName="/word/theme/themeOverride91.xml" ContentType="application/vnd.openxmlformats-officedocument.themeOverride+xml"/>
  <Override PartName="/word/theme/themeOverride92.xml" ContentType="application/vnd.openxmlformats-officedocument.themeOverride+xml"/>
  <Override PartName="/word/theme/themeOverride93.xml" ContentType="application/vnd.openxmlformats-officedocument.themeOverride+xml"/>
  <Override PartName="/word/theme/themeOverride94.xml" ContentType="application/vnd.openxmlformats-officedocument.themeOverride+xml"/>
  <Override PartName="/word/theme/themeOverride95.xml" ContentType="application/vnd.openxmlformats-officedocument.themeOverride+xml"/>
  <Override PartName="/word/theme/themeOverride96.xml" ContentType="application/vnd.openxmlformats-officedocument.themeOverride+xml"/>
  <Override PartName="/word/theme/themeOverride97.xml" ContentType="application/vnd.openxmlformats-officedocument.themeOverride+xml"/>
  <Override PartName="/word/theme/themeOverride98.xml" ContentType="application/vnd.openxmlformats-officedocument.themeOverride+xml"/>
  <Override PartName="/word/theme/themeOverride9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spacing w:beforeLines="0" w:afterLines="0"/>
        <w:jc w:val="center"/>
        <w:rPr>
          <w:rFonts w:hint="eastAsia" w:ascii="黑体" w:hAnsi="黑体" w:eastAsia="黑体"/>
          <w:sz w:val="44"/>
          <w:lang w:eastAsia="zh-CN"/>
        </w:rPr>
      </w:pPr>
      <w:r>
        <w:rPr>
          <w:rFonts w:hint="eastAsia" w:ascii="黑体" w:hAnsi="黑体" w:eastAsia="黑体"/>
          <w:sz w:val="44"/>
          <w:lang w:eastAsia="zh-CN"/>
        </w:rPr>
        <w:drawing>
          <wp:inline distT="0" distB="0" distL="114300" distR="114300">
            <wp:extent cx="2337435" cy="700405"/>
            <wp:effectExtent l="0" t="0" r="5715" b="4445"/>
            <wp:docPr id="9" name="图片 9" descr="中戏毛体字 1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戏毛体字 1拷贝"/>
                    <pic:cNvPicPr>
                      <a:picLocks noChangeAspect="1"/>
                    </pic:cNvPicPr>
                  </pic:nvPicPr>
                  <pic:blipFill>
                    <a:blip r:embed="rId9"/>
                    <a:stretch>
                      <a:fillRect/>
                    </a:stretch>
                  </pic:blipFill>
                  <pic:spPr>
                    <a:xfrm>
                      <a:off x="0" y="0"/>
                      <a:ext cx="2337435" cy="700405"/>
                    </a:xfrm>
                    <a:prstGeom prst="rect">
                      <a:avLst/>
                    </a:prstGeom>
                  </pic:spPr>
                </pic:pic>
              </a:graphicData>
            </a:graphic>
          </wp:inline>
        </w:drawing>
      </w:r>
    </w:p>
    <w:p>
      <w:pPr>
        <w:spacing w:beforeLines="0" w:afterLines="0"/>
        <w:jc w:val="center"/>
        <w:rPr>
          <w:rFonts w:hint="eastAsia" w:ascii="黑体" w:hAnsi="黑体" w:eastAsia="黑体"/>
          <w:sz w:val="44"/>
        </w:rPr>
      </w:pPr>
      <w:r>
        <w:rPr>
          <w:rFonts w:hint="eastAsia" w:ascii="黑体" w:hAnsi="黑体" w:eastAsia="黑体"/>
          <w:sz w:val="44"/>
        </w:rPr>
        <w:t>201</w:t>
      </w:r>
      <w:r>
        <w:rPr>
          <w:rFonts w:hint="eastAsia" w:ascii="黑体" w:hAnsi="黑体" w:eastAsia="黑体"/>
          <w:sz w:val="44"/>
          <w:lang w:val="en-US" w:eastAsia="zh-CN"/>
        </w:rPr>
        <w:t>6</w:t>
      </w:r>
      <w:r>
        <w:rPr>
          <w:rFonts w:hint="eastAsia" w:ascii="黑体" w:hAnsi="黑体" w:eastAsia="黑体"/>
          <w:sz w:val="44"/>
        </w:rPr>
        <w:t>届毕业生就业</w:t>
      </w:r>
    </w:p>
    <w:p>
      <w:pPr>
        <w:spacing w:beforeLines="0" w:afterLines="0"/>
        <w:jc w:val="center"/>
        <w:rPr>
          <w:rFonts w:hint="eastAsia" w:ascii="黑体" w:hAnsi="黑体" w:eastAsia="黑体"/>
          <w:sz w:val="44"/>
        </w:rPr>
      </w:pPr>
    </w:p>
    <w:p>
      <w:pPr>
        <w:spacing w:beforeLines="0" w:afterLines="0"/>
        <w:jc w:val="center"/>
        <w:rPr>
          <w:rFonts w:hint="eastAsia" w:ascii="华文中宋" w:hAnsi="华文中宋" w:eastAsia="华文中宋"/>
          <w:sz w:val="84"/>
        </w:rPr>
      </w:pPr>
      <w:r>
        <w:rPr>
          <w:rFonts w:hint="eastAsia" w:ascii="华文中宋" w:hAnsi="华文中宋" w:eastAsia="华文中宋"/>
          <w:sz w:val="84"/>
        </w:rPr>
        <w:t>年</w:t>
      </w:r>
      <w:bookmarkStart w:id="284" w:name="_GoBack"/>
      <w:bookmarkEnd w:id="284"/>
    </w:p>
    <w:p>
      <w:pPr>
        <w:spacing w:beforeLines="0" w:afterLines="0"/>
        <w:jc w:val="center"/>
        <w:rPr>
          <w:rFonts w:hint="eastAsia" w:ascii="华文中宋" w:hAnsi="华文中宋" w:eastAsia="华文中宋"/>
          <w:sz w:val="84"/>
        </w:rPr>
      </w:pPr>
      <w:r>
        <w:rPr>
          <w:rFonts w:hint="eastAsia" w:ascii="华文中宋" w:hAnsi="华文中宋" w:eastAsia="华文中宋"/>
          <w:sz w:val="84"/>
        </w:rPr>
        <w:t>度</w:t>
      </w:r>
    </w:p>
    <w:p>
      <w:pPr>
        <w:spacing w:beforeLines="0" w:afterLines="0"/>
        <w:jc w:val="center"/>
        <w:rPr>
          <w:rFonts w:hint="eastAsia" w:ascii="华文中宋" w:hAnsi="华文中宋" w:eastAsia="华文中宋"/>
          <w:sz w:val="84"/>
        </w:rPr>
      </w:pPr>
      <w:r>
        <w:rPr>
          <w:rFonts w:hint="eastAsia" w:ascii="华文中宋" w:hAnsi="华文中宋" w:eastAsia="华文中宋"/>
          <w:sz w:val="84"/>
        </w:rPr>
        <w:t>质</w:t>
      </w:r>
    </w:p>
    <w:p>
      <w:pPr>
        <w:spacing w:beforeLines="0" w:afterLines="0"/>
        <w:jc w:val="center"/>
        <w:rPr>
          <w:rFonts w:hint="eastAsia" w:ascii="华文中宋" w:hAnsi="华文中宋" w:eastAsia="华文中宋"/>
          <w:sz w:val="84"/>
        </w:rPr>
      </w:pPr>
      <w:r>
        <w:rPr>
          <w:rFonts w:hint="eastAsia" w:ascii="华文中宋" w:hAnsi="华文中宋" w:eastAsia="华文中宋"/>
          <w:sz w:val="84"/>
        </w:rPr>
        <w:t>量</w:t>
      </w:r>
    </w:p>
    <w:p>
      <w:pPr>
        <w:spacing w:beforeLines="0" w:afterLines="0"/>
        <w:jc w:val="center"/>
        <w:rPr>
          <w:rFonts w:hint="eastAsia" w:ascii="华文中宋" w:hAnsi="华文中宋" w:eastAsia="华文中宋"/>
          <w:sz w:val="84"/>
        </w:rPr>
      </w:pPr>
      <w:r>
        <w:rPr>
          <w:rFonts w:hint="eastAsia" w:ascii="华文中宋" w:hAnsi="华文中宋" w:eastAsia="华文中宋"/>
          <w:sz w:val="84"/>
        </w:rPr>
        <w:t>报</w:t>
      </w:r>
    </w:p>
    <w:p>
      <w:pPr>
        <w:spacing w:beforeLines="0" w:afterLines="0"/>
        <w:jc w:val="center"/>
        <w:rPr>
          <w:rFonts w:hint="eastAsia" w:ascii="华文中宋" w:hAnsi="华文中宋" w:eastAsia="华文中宋"/>
          <w:sz w:val="84"/>
        </w:rPr>
      </w:pPr>
      <w:r>
        <w:rPr>
          <w:rFonts w:hint="eastAsia" w:ascii="华文中宋" w:hAnsi="华文中宋" w:eastAsia="华文中宋"/>
          <w:sz w:val="84"/>
        </w:rPr>
        <w:t>告</w:t>
      </w:r>
    </w:p>
    <w:p>
      <w:pPr>
        <w:spacing w:beforeLines="0" w:afterLines="0"/>
        <w:jc w:val="center"/>
        <w:rPr>
          <w:rFonts w:hint="eastAsia" w:ascii="华文中宋" w:hAnsi="华文中宋" w:eastAsia="华文中宋"/>
          <w:sz w:val="52"/>
          <w:szCs w:val="52"/>
        </w:rPr>
      </w:pPr>
    </w:p>
    <w:p>
      <w:pPr>
        <w:spacing w:beforeLines="0" w:afterLines="0"/>
        <w:jc w:val="center"/>
        <w:rPr>
          <w:rFonts w:hint="eastAsia" w:ascii="楷体_GB2312" w:hAnsi="楷体_GB2312" w:eastAsia="楷体_GB2312"/>
          <w:sz w:val="30"/>
        </w:rPr>
      </w:pPr>
      <w:r>
        <w:rPr>
          <w:rFonts w:hint="eastAsia" w:ascii="楷体_GB2312" w:hAnsi="楷体_GB2312" w:eastAsia="楷体_GB2312"/>
          <w:sz w:val="30"/>
        </w:rPr>
        <w:t>毕业生就业指导中心</w:t>
      </w:r>
    </w:p>
    <w:p>
      <w:pPr>
        <w:jc w:val="center"/>
      </w:pPr>
      <w:r>
        <w:rPr>
          <w:rFonts w:hint="eastAsia" w:ascii="楷体_GB2312" w:hAnsi="楷体_GB2312" w:eastAsia="楷体_GB2312"/>
          <w:sz w:val="30"/>
        </w:rPr>
        <w:t>二</w:t>
      </w:r>
      <w:r>
        <w:rPr>
          <w:rFonts w:hint="eastAsia" w:ascii="宋体" w:hAnsi="宋体" w:eastAsia="宋体"/>
          <w:sz w:val="30"/>
        </w:rPr>
        <w:t>〇</w:t>
      </w:r>
      <w:r>
        <w:rPr>
          <w:rFonts w:hint="eastAsia" w:ascii="楷体_GB2312" w:hAnsi="楷体_GB2312" w:eastAsia="楷体_GB2312"/>
          <w:sz w:val="30"/>
        </w:rPr>
        <w:t>一</w:t>
      </w:r>
      <w:r>
        <w:rPr>
          <w:rFonts w:hint="eastAsia" w:ascii="楷体_GB2312" w:hAnsi="楷体_GB2312" w:eastAsia="楷体_GB2312"/>
          <w:sz w:val="30"/>
          <w:lang w:eastAsia="zh-CN"/>
        </w:rPr>
        <w:t>六</w:t>
      </w:r>
      <w:r>
        <w:rPr>
          <w:rFonts w:hint="eastAsia" w:ascii="楷体_GB2312" w:hAnsi="楷体_GB2312" w:eastAsia="楷体_GB2312"/>
          <w:sz w:val="30"/>
        </w:rPr>
        <w:t>年十二月</w:t>
      </w:r>
    </w:p>
    <w:p>
      <w:pPr>
        <w:ind w:firstLine="420"/>
      </w:pPr>
    </w:p>
    <w:p>
      <w:pPr>
        <w:ind w:firstLine="420"/>
      </w:pPr>
    </w:p>
    <w:p>
      <w:pPr>
        <w:spacing w:after="468" w:afterLines="150"/>
        <w:jc w:val="center"/>
        <w:rPr>
          <w:rFonts w:ascii="黑体" w:hAnsi="黑体" w:eastAsia="黑体"/>
          <w:sz w:val="44"/>
          <w:szCs w:val="44"/>
        </w:rPr>
      </w:pPr>
      <w:r>
        <w:rPr>
          <w:rFonts w:hint="eastAsia" w:ascii="黑体" w:hAnsi="黑体" w:eastAsia="黑体"/>
          <w:sz w:val="44"/>
          <w:szCs w:val="44"/>
        </w:rPr>
        <w:t>目   录</w:t>
      </w:r>
    </w:p>
    <w:p>
      <w:pPr>
        <w:pStyle w:val="19"/>
        <w:rPr>
          <w:b w:val="0"/>
          <w:bCs w:val="0"/>
          <w:caps w:val="0"/>
          <w:sz w:val="21"/>
          <w:szCs w:val="22"/>
        </w:rPr>
      </w:pPr>
      <w:r>
        <w:fldChar w:fldCharType="begin"/>
      </w:r>
      <w:r>
        <w:instrText xml:space="preserve"> TOC \o "1-4" \h \z </w:instrText>
      </w:r>
      <w:r>
        <w:fldChar w:fldCharType="separate"/>
      </w:r>
      <w:r>
        <w:fldChar w:fldCharType="begin"/>
      </w:r>
      <w:r>
        <w:instrText xml:space="preserve"> HYPERLINK \l "_Toc470167325" </w:instrText>
      </w:r>
      <w:r>
        <w:fldChar w:fldCharType="separate"/>
      </w:r>
      <w:r>
        <w:rPr>
          <w:rStyle w:val="30"/>
          <w:rFonts w:hint="eastAsia"/>
        </w:rPr>
        <w:t>第一章　背景与概况</w:t>
      </w:r>
      <w:r>
        <w:tab/>
      </w:r>
      <w:r>
        <w:rPr>
          <w:b w:val="0"/>
          <w:bCs w:val="0"/>
          <w:sz w:val="21"/>
          <w:szCs w:val="21"/>
        </w:rPr>
        <w:fldChar w:fldCharType="begin"/>
      </w:r>
      <w:r>
        <w:rPr>
          <w:b w:val="0"/>
          <w:bCs w:val="0"/>
          <w:sz w:val="21"/>
          <w:szCs w:val="21"/>
        </w:rPr>
        <w:instrText xml:space="preserve"> PAGEREF _Toc470167325 \h </w:instrText>
      </w:r>
      <w:r>
        <w:rPr>
          <w:b w:val="0"/>
          <w:bCs w:val="0"/>
          <w:sz w:val="21"/>
          <w:szCs w:val="21"/>
        </w:rPr>
        <w:fldChar w:fldCharType="separate"/>
      </w:r>
      <w:r>
        <w:rPr>
          <w:b w:val="0"/>
          <w:bCs w:val="0"/>
          <w:sz w:val="21"/>
          <w:szCs w:val="21"/>
        </w:rPr>
        <w:t>6</w:t>
      </w:r>
      <w:r>
        <w:rPr>
          <w:b w:val="0"/>
          <w:bCs w:val="0"/>
          <w:sz w:val="21"/>
          <w:szCs w:val="21"/>
        </w:rPr>
        <w:fldChar w:fldCharType="end"/>
      </w:r>
      <w:r>
        <w:fldChar w:fldCharType="end"/>
      </w:r>
    </w:p>
    <w:p>
      <w:pPr>
        <w:pStyle w:val="24"/>
        <w:rPr>
          <w:b w:val="0"/>
          <w:bCs/>
          <w:smallCaps w:val="0"/>
          <w:szCs w:val="22"/>
        </w:rPr>
      </w:pPr>
      <w:r>
        <w:rPr>
          <w:b w:val="0"/>
          <w:bCs/>
        </w:rPr>
        <w:fldChar w:fldCharType="begin"/>
      </w:r>
      <w:r>
        <w:rPr>
          <w:b w:val="0"/>
          <w:bCs/>
        </w:rPr>
        <w:instrText xml:space="preserve"> HYPERLINK \l "_Toc470167326" </w:instrText>
      </w:r>
      <w:r>
        <w:rPr>
          <w:b w:val="0"/>
          <w:bCs/>
        </w:rPr>
        <w:fldChar w:fldCharType="separate"/>
      </w:r>
      <w:r>
        <w:rPr>
          <w:rStyle w:val="30"/>
          <w:rFonts w:hint="eastAsia"/>
          <w:b w:val="0"/>
          <w:bCs/>
        </w:rPr>
        <w:t>一、背景</w:t>
      </w:r>
      <w:r>
        <w:rPr>
          <w:b w:val="0"/>
          <w:bCs/>
        </w:rPr>
        <w:tab/>
      </w:r>
      <w:r>
        <w:rPr>
          <w:b w:val="0"/>
          <w:bCs/>
        </w:rPr>
        <w:fldChar w:fldCharType="begin"/>
      </w:r>
      <w:r>
        <w:rPr>
          <w:b w:val="0"/>
          <w:bCs/>
        </w:rPr>
        <w:instrText xml:space="preserve"> PAGEREF _Toc470167326 \h </w:instrText>
      </w:r>
      <w:r>
        <w:rPr>
          <w:b w:val="0"/>
          <w:bCs/>
        </w:rPr>
        <w:fldChar w:fldCharType="separate"/>
      </w:r>
      <w:r>
        <w:rPr>
          <w:b w:val="0"/>
          <w:bCs/>
        </w:rPr>
        <w:t>6</w:t>
      </w:r>
      <w:r>
        <w:rPr>
          <w:b w:val="0"/>
          <w:bCs/>
        </w:rPr>
        <w:fldChar w:fldCharType="end"/>
      </w:r>
      <w:r>
        <w:rPr>
          <w:b w:val="0"/>
          <w:bCs/>
        </w:rPr>
        <w:fldChar w:fldCharType="end"/>
      </w:r>
    </w:p>
    <w:p>
      <w:pPr>
        <w:pStyle w:val="24"/>
        <w:rPr>
          <w:b w:val="0"/>
          <w:smallCaps w:val="0"/>
          <w:szCs w:val="22"/>
        </w:rPr>
      </w:pPr>
      <w:r>
        <w:rPr>
          <w:b w:val="0"/>
          <w:bCs/>
        </w:rPr>
        <w:fldChar w:fldCharType="begin"/>
      </w:r>
      <w:r>
        <w:rPr>
          <w:b w:val="0"/>
          <w:bCs/>
        </w:rPr>
        <w:instrText xml:space="preserve"> HYPERLINK \l "_Toc470167327" </w:instrText>
      </w:r>
      <w:r>
        <w:rPr>
          <w:b w:val="0"/>
          <w:bCs/>
        </w:rPr>
        <w:fldChar w:fldCharType="separate"/>
      </w:r>
      <w:r>
        <w:rPr>
          <w:rStyle w:val="30"/>
          <w:rFonts w:hint="eastAsia"/>
          <w:b w:val="0"/>
          <w:bCs/>
        </w:rPr>
        <w:t>二、概况</w:t>
      </w:r>
      <w:r>
        <w:rPr>
          <w:b w:val="0"/>
          <w:bCs/>
        </w:rPr>
        <w:tab/>
      </w:r>
      <w:r>
        <w:rPr>
          <w:b w:val="0"/>
          <w:bCs/>
        </w:rPr>
        <w:fldChar w:fldCharType="begin"/>
      </w:r>
      <w:r>
        <w:rPr>
          <w:b w:val="0"/>
          <w:bCs/>
        </w:rPr>
        <w:instrText xml:space="preserve"> PAGEREF _Toc470167327 \h </w:instrText>
      </w:r>
      <w:r>
        <w:rPr>
          <w:b w:val="0"/>
          <w:bCs/>
        </w:rPr>
        <w:fldChar w:fldCharType="separate"/>
      </w:r>
      <w:r>
        <w:rPr>
          <w:b w:val="0"/>
          <w:bCs/>
        </w:rPr>
        <w:t>7</w:t>
      </w:r>
      <w:r>
        <w:rPr>
          <w:b w:val="0"/>
          <w:bCs/>
        </w:rPr>
        <w:fldChar w:fldCharType="end"/>
      </w:r>
      <w:r>
        <w:rPr>
          <w:b w:val="0"/>
          <w:bCs/>
        </w:rPr>
        <w:fldChar w:fldCharType="end"/>
      </w:r>
    </w:p>
    <w:p>
      <w:pPr>
        <w:pStyle w:val="19"/>
        <w:rPr>
          <w:b w:val="0"/>
          <w:bCs w:val="0"/>
          <w:caps w:val="0"/>
          <w:sz w:val="21"/>
          <w:szCs w:val="22"/>
        </w:rPr>
      </w:pPr>
      <w:r>
        <w:fldChar w:fldCharType="begin"/>
      </w:r>
      <w:r>
        <w:instrText xml:space="preserve"> HYPERLINK \l "_Toc470167328" </w:instrText>
      </w:r>
      <w:r>
        <w:fldChar w:fldCharType="separate"/>
      </w:r>
      <w:r>
        <w:rPr>
          <w:rStyle w:val="30"/>
          <w:rFonts w:hint="eastAsia"/>
        </w:rPr>
        <w:t>第二章　毕业生基本情况与毕业去向</w:t>
      </w:r>
      <w:r>
        <w:tab/>
      </w:r>
      <w:r>
        <w:rPr>
          <w:b w:val="0"/>
          <w:bCs w:val="0"/>
          <w:sz w:val="21"/>
          <w:szCs w:val="21"/>
        </w:rPr>
        <w:fldChar w:fldCharType="begin"/>
      </w:r>
      <w:r>
        <w:rPr>
          <w:b w:val="0"/>
          <w:bCs w:val="0"/>
          <w:sz w:val="21"/>
          <w:szCs w:val="21"/>
        </w:rPr>
        <w:instrText xml:space="preserve"> PAGEREF _Toc470167328 \h </w:instrText>
      </w:r>
      <w:r>
        <w:rPr>
          <w:b w:val="0"/>
          <w:bCs w:val="0"/>
          <w:sz w:val="21"/>
          <w:szCs w:val="21"/>
        </w:rPr>
        <w:fldChar w:fldCharType="separate"/>
      </w:r>
      <w:r>
        <w:rPr>
          <w:b w:val="0"/>
          <w:bCs w:val="0"/>
          <w:sz w:val="21"/>
          <w:szCs w:val="21"/>
        </w:rPr>
        <w:t>8</w:t>
      </w:r>
      <w:r>
        <w:rPr>
          <w:b w:val="0"/>
          <w:bCs w:val="0"/>
          <w:sz w:val="21"/>
          <w:szCs w:val="21"/>
        </w:rPr>
        <w:fldChar w:fldCharType="end"/>
      </w:r>
      <w:r>
        <w:fldChar w:fldCharType="end"/>
      </w:r>
    </w:p>
    <w:p>
      <w:pPr>
        <w:pStyle w:val="24"/>
        <w:rPr>
          <w:b w:val="0"/>
          <w:bCs/>
          <w:smallCaps w:val="0"/>
          <w:szCs w:val="22"/>
        </w:rPr>
      </w:pPr>
      <w:r>
        <w:rPr>
          <w:b w:val="0"/>
          <w:bCs/>
        </w:rPr>
        <w:fldChar w:fldCharType="begin"/>
      </w:r>
      <w:r>
        <w:rPr>
          <w:b w:val="0"/>
          <w:bCs/>
        </w:rPr>
        <w:instrText xml:space="preserve"> HYPERLINK \l "_Toc470167329" </w:instrText>
      </w:r>
      <w:r>
        <w:rPr>
          <w:b w:val="0"/>
          <w:bCs/>
        </w:rPr>
        <w:fldChar w:fldCharType="separate"/>
      </w:r>
      <w:r>
        <w:rPr>
          <w:rStyle w:val="30"/>
          <w:rFonts w:hint="eastAsia"/>
          <w:b w:val="0"/>
          <w:bCs/>
        </w:rPr>
        <w:t>一、毕业生规模与结构</w:t>
      </w:r>
      <w:r>
        <w:rPr>
          <w:b w:val="0"/>
          <w:bCs/>
        </w:rPr>
        <w:tab/>
      </w:r>
      <w:r>
        <w:rPr>
          <w:b w:val="0"/>
          <w:bCs/>
        </w:rPr>
        <w:fldChar w:fldCharType="begin"/>
      </w:r>
      <w:r>
        <w:rPr>
          <w:b w:val="0"/>
          <w:bCs/>
        </w:rPr>
        <w:instrText xml:space="preserve"> PAGEREF _Toc470167329 \h </w:instrText>
      </w:r>
      <w:r>
        <w:rPr>
          <w:b w:val="0"/>
          <w:bCs/>
        </w:rPr>
        <w:fldChar w:fldCharType="separate"/>
      </w:r>
      <w:r>
        <w:rPr>
          <w:b w:val="0"/>
          <w:bCs/>
        </w:rPr>
        <w:t>8</w:t>
      </w:r>
      <w:r>
        <w:rPr>
          <w:b w:val="0"/>
          <w:bCs/>
        </w:rPr>
        <w:fldChar w:fldCharType="end"/>
      </w:r>
      <w:r>
        <w:rPr>
          <w:b w:val="0"/>
          <w:bCs/>
        </w:rPr>
        <w:fldChar w:fldCharType="end"/>
      </w:r>
    </w:p>
    <w:p>
      <w:pPr>
        <w:pStyle w:val="24"/>
        <w:rPr>
          <w:b w:val="0"/>
          <w:bCs/>
          <w:smallCaps w:val="0"/>
          <w:szCs w:val="22"/>
        </w:rPr>
      </w:pPr>
      <w:r>
        <w:rPr>
          <w:b w:val="0"/>
          <w:bCs/>
        </w:rPr>
        <w:fldChar w:fldCharType="begin"/>
      </w:r>
      <w:r>
        <w:rPr>
          <w:b w:val="0"/>
          <w:bCs/>
        </w:rPr>
        <w:instrText xml:space="preserve"> HYPERLINK \l "_Toc470167330" </w:instrText>
      </w:r>
      <w:r>
        <w:rPr>
          <w:b w:val="0"/>
          <w:bCs/>
        </w:rPr>
        <w:fldChar w:fldCharType="separate"/>
      </w:r>
      <w:r>
        <w:rPr>
          <w:rStyle w:val="30"/>
          <w:rFonts w:hint="eastAsia"/>
          <w:b w:val="0"/>
          <w:bCs/>
        </w:rPr>
        <w:t>二、毕业去向情况</w:t>
      </w:r>
      <w:r>
        <w:rPr>
          <w:b w:val="0"/>
          <w:bCs/>
        </w:rPr>
        <w:tab/>
      </w:r>
      <w:r>
        <w:rPr>
          <w:b w:val="0"/>
          <w:bCs/>
        </w:rPr>
        <w:fldChar w:fldCharType="begin"/>
      </w:r>
      <w:r>
        <w:rPr>
          <w:b w:val="0"/>
          <w:bCs/>
        </w:rPr>
        <w:instrText xml:space="preserve"> PAGEREF _Toc470167330 \h </w:instrText>
      </w:r>
      <w:r>
        <w:rPr>
          <w:b w:val="0"/>
          <w:bCs/>
        </w:rPr>
        <w:fldChar w:fldCharType="separate"/>
      </w:r>
      <w:r>
        <w:rPr>
          <w:b w:val="0"/>
          <w:bCs/>
        </w:rPr>
        <w:t>9</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"_Toc470167331" </w:instrText>
      </w:r>
      <w:r>
        <w:rPr>
          <w:b w:val="0"/>
          <w:bCs/>
        </w:rPr>
        <w:fldChar w:fldCharType="separate"/>
      </w:r>
      <w:r>
        <w:rPr>
          <w:rStyle w:val="30"/>
          <w:b w:val="0"/>
          <w:bCs/>
        </w:rPr>
        <w:t>1</w:t>
      </w:r>
      <w:r>
        <w:rPr>
          <w:rStyle w:val="30"/>
          <w:rFonts w:hint="eastAsia"/>
          <w:b w:val="0"/>
          <w:bCs/>
        </w:rPr>
        <w:t>、就业率</w:t>
      </w:r>
      <w:r>
        <w:rPr>
          <w:b w:val="0"/>
          <w:bCs/>
        </w:rPr>
        <w:tab/>
      </w:r>
      <w:r>
        <w:rPr>
          <w:b w:val="0"/>
          <w:bCs/>
        </w:rPr>
        <w:fldChar w:fldCharType="begin"/>
      </w:r>
      <w:r>
        <w:rPr>
          <w:b w:val="0"/>
          <w:bCs/>
        </w:rPr>
        <w:instrText xml:space="preserve"> PAGEREF _Toc470167331 \h </w:instrText>
      </w:r>
      <w:r>
        <w:rPr>
          <w:b w:val="0"/>
          <w:bCs/>
        </w:rPr>
        <w:fldChar w:fldCharType="separate"/>
      </w:r>
      <w:r>
        <w:rPr>
          <w:b w:val="0"/>
          <w:bCs/>
        </w:rPr>
        <w:t>9</w:t>
      </w:r>
      <w:r>
        <w:rPr>
          <w:b w:val="0"/>
          <w:bCs/>
        </w:rPr>
        <w:fldChar w:fldCharType="end"/>
      </w:r>
      <w:r>
        <w:rPr>
          <w:b w:val="0"/>
          <w:bCs/>
        </w:rPr>
        <w:fldChar w:fldCharType="end"/>
      </w:r>
    </w:p>
    <w:p>
      <w:pPr>
        <w:pStyle w:val="20"/>
        <w:rPr>
          <w:b w:val="0"/>
          <w:bCs/>
          <w:sz w:val="21"/>
          <w:szCs w:val="22"/>
        </w:rPr>
      </w:pPr>
      <w:r>
        <w:rPr>
          <w:b w:val="0"/>
          <w:bCs/>
        </w:rPr>
        <w:fldChar w:fldCharType="begin"/>
      </w:r>
      <w:r>
        <w:rPr>
          <w:b w:val="0"/>
          <w:bCs/>
        </w:rPr>
        <w:instrText xml:space="preserve"> HYPERLINK \l "_Toc470167332" </w:instrText>
      </w:r>
      <w:r>
        <w:rPr>
          <w:b w:val="0"/>
          <w:bCs/>
        </w:rPr>
        <w:fldChar w:fldCharType="separate"/>
      </w:r>
      <w:r>
        <w:rPr>
          <w:rStyle w:val="30"/>
          <w:rFonts w:hint="eastAsia"/>
          <w:b w:val="0"/>
          <w:bCs/>
        </w:rPr>
        <w:t>（</w:t>
      </w:r>
      <w:r>
        <w:rPr>
          <w:rStyle w:val="30"/>
          <w:b w:val="0"/>
          <w:bCs/>
        </w:rPr>
        <w:t>1</w:t>
      </w:r>
      <w:r>
        <w:rPr>
          <w:rStyle w:val="30"/>
          <w:rFonts w:hint="eastAsia"/>
          <w:b w:val="0"/>
          <w:bCs/>
        </w:rPr>
        <w:t>）总体情况</w:t>
      </w:r>
      <w:r>
        <w:rPr>
          <w:b w:val="0"/>
          <w:bCs/>
        </w:rPr>
        <w:tab/>
      </w:r>
      <w:r>
        <w:rPr>
          <w:b w:val="0"/>
          <w:bCs/>
        </w:rPr>
        <w:fldChar w:fldCharType="begin"/>
      </w:r>
      <w:r>
        <w:rPr>
          <w:b w:val="0"/>
          <w:bCs/>
        </w:rPr>
        <w:instrText xml:space="preserve"> PAGEREF _Toc470167332 \h </w:instrText>
      </w:r>
      <w:r>
        <w:rPr>
          <w:b w:val="0"/>
          <w:bCs/>
        </w:rPr>
        <w:fldChar w:fldCharType="separate"/>
      </w:r>
      <w:r>
        <w:rPr>
          <w:b w:val="0"/>
          <w:bCs/>
        </w:rPr>
        <w:t>9</w:t>
      </w:r>
      <w:r>
        <w:rPr>
          <w:b w:val="0"/>
          <w:bCs/>
        </w:rPr>
        <w:fldChar w:fldCharType="end"/>
      </w:r>
      <w:r>
        <w:rPr>
          <w:b w:val="0"/>
          <w:bCs/>
        </w:rPr>
        <w:fldChar w:fldCharType="end"/>
      </w:r>
    </w:p>
    <w:p>
      <w:pPr>
        <w:pStyle w:val="20"/>
        <w:rPr>
          <w:b w:val="0"/>
          <w:bCs/>
          <w:sz w:val="21"/>
          <w:szCs w:val="22"/>
        </w:rPr>
      </w:pPr>
      <w:r>
        <w:rPr>
          <w:b w:val="0"/>
          <w:bCs/>
        </w:rPr>
        <w:fldChar w:fldCharType="begin"/>
      </w:r>
      <w:r>
        <w:rPr>
          <w:b w:val="0"/>
          <w:bCs/>
        </w:rPr>
        <w:instrText xml:space="preserve"> HYPERLINK \l "_Toc470167333" </w:instrText>
      </w:r>
      <w:r>
        <w:rPr>
          <w:b w:val="0"/>
          <w:bCs/>
        </w:rPr>
        <w:fldChar w:fldCharType="separate"/>
      </w:r>
      <w:r>
        <w:rPr>
          <w:rStyle w:val="30"/>
          <w:rFonts w:hint="eastAsia"/>
          <w:b w:val="0"/>
          <w:bCs/>
        </w:rPr>
        <w:t>（</w:t>
      </w:r>
      <w:r>
        <w:rPr>
          <w:rStyle w:val="30"/>
          <w:b w:val="0"/>
          <w:bCs/>
        </w:rPr>
        <w:t>2</w:t>
      </w:r>
      <w:r>
        <w:rPr>
          <w:rStyle w:val="30"/>
          <w:rFonts w:hint="eastAsia"/>
          <w:b w:val="0"/>
          <w:bCs/>
        </w:rPr>
        <w:t>）不同性别毕业生就业率</w:t>
      </w:r>
      <w:r>
        <w:rPr>
          <w:b w:val="0"/>
          <w:bCs/>
        </w:rPr>
        <w:tab/>
      </w:r>
      <w:r>
        <w:rPr>
          <w:b w:val="0"/>
          <w:bCs/>
        </w:rPr>
        <w:fldChar w:fldCharType="begin"/>
      </w:r>
      <w:r>
        <w:rPr>
          <w:b w:val="0"/>
          <w:bCs/>
        </w:rPr>
        <w:instrText xml:space="preserve"> PAGEREF _Toc470167333 \h </w:instrText>
      </w:r>
      <w:r>
        <w:rPr>
          <w:b w:val="0"/>
          <w:bCs/>
        </w:rPr>
        <w:fldChar w:fldCharType="separate"/>
      </w:r>
      <w:r>
        <w:rPr>
          <w:b w:val="0"/>
          <w:bCs/>
        </w:rPr>
        <w:t>10</w:t>
      </w:r>
      <w:r>
        <w:rPr>
          <w:b w:val="0"/>
          <w:bCs/>
        </w:rPr>
        <w:fldChar w:fldCharType="end"/>
      </w:r>
      <w:r>
        <w:rPr>
          <w:b w:val="0"/>
          <w:bCs/>
        </w:rPr>
        <w:fldChar w:fldCharType="end"/>
      </w:r>
    </w:p>
    <w:p>
      <w:pPr>
        <w:pStyle w:val="20"/>
        <w:rPr>
          <w:b w:val="0"/>
          <w:bCs/>
          <w:sz w:val="21"/>
          <w:szCs w:val="22"/>
        </w:rPr>
      </w:pPr>
      <w:r>
        <w:rPr>
          <w:b w:val="0"/>
          <w:bCs/>
        </w:rPr>
        <w:fldChar w:fldCharType="begin"/>
      </w:r>
      <w:r>
        <w:rPr>
          <w:b w:val="0"/>
          <w:bCs/>
        </w:rPr>
        <w:instrText xml:space="preserve"> HYPERLINK \l "_Toc470167334" </w:instrText>
      </w:r>
      <w:r>
        <w:rPr>
          <w:b w:val="0"/>
          <w:bCs/>
        </w:rPr>
        <w:fldChar w:fldCharType="separate"/>
      </w:r>
      <w:r>
        <w:rPr>
          <w:rStyle w:val="30"/>
          <w:rFonts w:hint="eastAsia"/>
          <w:b w:val="0"/>
          <w:bCs/>
        </w:rPr>
        <w:t>（</w:t>
      </w:r>
      <w:r>
        <w:rPr>
          <w:rStyle w:val="30"/>
          <w:b w:val="0"/>
          <w:bCs/>
        </w:rPr>
        <w:t>3</w:t>
      </w:r>
      <w:r>
        <w:rPr>
          <w:rStyle w:val="30"/>
          <w:rFonts w:hint="eastAsia"/>
          <w:b w:val="0"/>
          <w:bCs/>
        </w:rPr>
        <w:t>）不同生源地毕业生就业率</w:t>
      </w:r>
      <w:r>
        <w:rPr>
          <w:b w:val="0"/>
          <w:bCs/>
        </w:rPr>
        <w:tab/>
      </w:r>
      <w:r>
        <w:rPr>
          <w:b w:val="0"/>
          <w:bCs/>
        </w:rPr>
        <w:fldChar w:fldCharType="begin"/>
      </w:r>
      <w:r>
        <w:rPr>
          <w:b w:val="0"/>
          <w:bCs/>
        </w:rPr>
        <w:instrText xml:space="preserve"> PAGEREF _Toc470167334 \h </w:instrText>
      </w:r>
      <w:r>
        <w:rPr>
          <w:b w:val="0"/>
          <w:bCs/>
        </w:rPr>
        <w:fldChar w:fldCharType="separate"/>
      </w:r>
      <w:r>
        <w:rPr>
          <w:b w:val="0"/>
          <w:bCs/>
        </w:rPr>
        <w:t>10</w:t>
      </w:r>
      <w:r>
        <w:rPr>
          <w:b w:val="0"/>
          <w:bCs/>
        </w:rPr>
        <w:fldChar w:fldCharType="end"/>
      </w:r>
      <w:r>
        <w:rPr>
          <w:b w:val="0"/>
          <w:bCs/>
        </w:rPr>
        <w:fldChar w:fldCharType="end"/>
      </w:r>
    </w:p>
    <w:p>
      <w:pPr>
        <w:pStyle w:val="20"/>
        <w:rPr>
          <w:b w:val="0"/>
          <w:bCs/>
          <w:sz w:val="21"/>
          <w:szCs w:val="22"/>
        </w:rPr>
      </w:pPr>
      <w:r>
        <w:rPr>
          <w:b w:val="0"/>
          <w:bCs/>
        </w:rPr>
        <w:fldChar w:fldCharType="begin"/>
      </w:r>
      <w:r>
        <w:rPr>
          <w:b w:val="0"/>
          <w:bCs/>
        </w:rPr>
        <w:instrText xml:space="preserve"> HYPERLINK \l "_Toc470167335" </w:instrText>
      </w:r>
      <w:r>
        <w:rPr>
          <w:b w:val="0"/>
          <w:bCs/>
        </w:rPr>
        <w:fldChar w:fldCharType="separate"/>
      </w:r>
      <w:r>
        <w:rPr>
          <w:rStyle w:val="30"/>
          <w:rFonts w:hint="eastAsia"/>
          <w:b w:val="0"/>
          <w:bCs/>
        </w:rPr>
        <w:t>（</w:t>
      </w:r>
      <w:r>
        <w:rPr>
          <w:rStyle w:val="30"/>
          <w:b w:val="0"/>
          <w:bCs/>
        </w:rPr>
        <w:t>4</w:t>
      </w:r>
      <w:r>
        <w:rPr>
          <w:rStyle w:val="30"/>
          <w:rFonts w:hint="eastAsia"/>
          <w:b w:val="0"/>
          <w:bCs/>
        </w:rPr>
        <w:t>）不同学历层次毕业生就业率</w:t>
      </w:r>
      <w:r>
        <w:rPr>
          <w:b w:val="0"/>
          <w:bCs/>
        </w:rPr>
        <w:tab/>
      </w:r>
      <w:r>
        <w:rPr>
          <w:b w:val="0"/>
          <w:bCs/>
        </w:rPr>
        <w:fldChar w:fldCharType="begin"/>
      </w:r>
      <w:r>
        <w:rPr>
          <w:b w:val="0"/>
          <w:bCs/>
        </w:rPr>
        <w:instrText xml:space="preserve"> PAGEREF _Toc470167335 \h </w:instrText>
      </w:r>
      <w:r>
        <w:rPr>
          <w:b w:val="0"/>
          <w:bCs/>
        </w:rPr>
        <w:fldChar w:fldCharType="separate"/>
      </w:r>
      <w:r>
        <w:rPr>
          <w:b w:val="0"/>
          <w:bCs/>
        </w:rPr>
        <w:t>11</w:t>
      </w:r>
      <w:r>
        <w:rPr>
          <w:b w:val="0"/>
          <w:bCs/>
        </w:rPr>
        <w:fldChar w:fldCharType="end"/>
      </w:r>
      <w:r>
        <w:rPr>
          <w:b w:val="0"/>
          <w:bCs/>
        </w:rPr>
        <w:fldChar w:fldCharType="end"/>
      </w:r>
    </w:p>
    <w:p>
      <w:pPr>
        <w:pStyle w:val="20"/>
        <w:rPr>
          <w:b w:val="0"/>
          <w:bCs/>
          <w:sz w:val="21"/>
          <w:szCs w:val="22"/>
        </w:rPr>
      </w:pPr>
      <w:r>
        <w:rPr>
          <w:b w:val="0"/>
          <w:bCs/>
        </w:rPr>
        <w:fldChar w:fldCharType="begin"/>
      </w:r>
      <w:r>
        <w:rPr>
          <w:b w:val="0"/>
          <w:bCs/>
        </w:rPr>
        <w:instrText xml:space="preserve"> HYPERLINK \l "_Toc470167336" </w:instrText>
      </w:r>
      <w:r>
        <w:rPr>
          <w:b w:val="0"/>
          <w:bCs/>
        </w:rPr>
        <w:fldChar w:fldCharType="separate"/>
      </w:r>
      <w:r>
        <w:rPr>
          <w:rStyle w:val="30"/>
          <w:rFonts w:hint="eastAsia"/>
          <w:b w:val="0"/>
          <w:bCs/>
        </w:rPr>
        <w:t>（</w:t>
      </w:r>
      <w:r>
        <w:rPr>
          <w:rStyle w:val="30"/>
          <w:b w:val="0"/>
          <w:bCs/>
        </w:rPr>
        <w:t>5</w:t>
      </w:r>
      <w:r>
        <w:rPr>
          <w:rStyle w:val="30"/>
          <w:rFonts w:hint="eastAsia"/>
          <w:b w:val="0"/>
          <w:bCs/>
        </w:rPr>
        <w:t>）不同专业毕业生就业率</w:t>
      </w:r>
      <w:r>
        <w:rPr>
          <w:b w:val="0"/>
          <w:bCs/>
        </w:rPr>
        <w:tab/>
      </w:r>
      <w:r>
        <w:rPr>
          <w:b w:val="0"/>
          <w:bCs/>
        </w:rPr>
        <w:fldChar w:fldCharType="begin"/>
      </w:r>
      <w:r>
        <w:rPr>
          <w:b w:val="0"/>
          <w:bCs/>
        </w:rPr>
        <w:instrText xml:space="preserve"> PAGEREF _Toc470167336 \h </w:instrText>
      </w:r>
      <w:r>
        <w:rPr>
          <w:b w:val="0"/>
          <w:bCs/>
        </w:rPr>
        <w:fldChar w:fldCharType="separate"/>
      </w:r>
      <w:r>
        <w:rPr>
          <w:b w:val="0"/>
          <w:bCs/>
        </w:rPr>
        <w:t>12</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"_Toc470167337" </w:instrText>
      </w:r>
      <w:r>
        <w:rPr>
          <w:b w:val="0"/>
          <w:bCs/>
        </w:rPr>
        <w:fldChar w:fldCharType="separate"/>
      </w:r>
      <w:r>
        <w:rPr>
          <w:rStyle w:val="30"/>
          <w:b w:val="0"/>
          <w:bCs/>
        </w:rPr>
        <w:t>2</w:t>
      </w:r>
      <w:r>
        <w:rPr>
          <w:rStyle w:val="30"/>
          <w:rFonts w:hint="eastAsia"/>
          <w:b w:val="0"/>
          <w:bCs/>
        </w:rPr>
        <w:t>、落实就业地区分布</w:t>
      </w:r>
      <w:r>
        <w:rPr>
          <w:b w:val="0"/>
          <w:bCs/>
        </w:rPr>
        <w:tab/>
      </w:r>
      <w:r>
        <w:rPr>
          <w:b w:val="0"/>
          <w:bCs/>
        </w:rPr>
        <w:fldChar w:fldCharType="begin"/>
      </w:r>
      <w:r>
        <w:rPr>
          <w:b w:val="0"/>
          <w:bCs/>
        </w:rPr>
        <w:instrText xml:space="preserve"> PAGEREF _Toc470167337 \h </w:instrText>
      </w:r>
      <w:r>
        <w:rPr>
          <w:b w:val="0"/>
          <w:bCs/>
        </w:rPr>
        <w:fldChar w:fldCharType="separate"/>
      </w:r>
      <w:r>
        <w:rPr>
          <w:b w:val="0"/>
          <w:bCs/>
        </w:rPr>
        <w:t>13</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"_Toc470167338" </w:instrText>
      </w:r>
      <w:r>
        <w:rPr>
          <w:b w:val="0"/>
          <w:bCs/>
        </w:rPr>
        <w:fldChar w:fldCharType="separate"/>
      </w:r>
      <w:r>
        <w:rPr>
          <w:rStyle w:val="30"/>
          <w:b w:val="0"/>
          <w:bCs/>
        </w:rPr>
        <w:t>3</w:t>
      </w:r>
      <w:r>
        <w:rPr>
          <w:rStyle w:val="30"/>
          <w:rFonts w:hint="eastAsia"/>
          <w:b w:val="0"/>
          <w:bCs/>
        </w:rPr>
        <w:t>、落实就业单位类型分布</w:t>
      </w:r>
      <w:r>
        <w:rPr>
          <w:b w:val="0"/>
          <w:bCs/>
        </w:rPr>
        <w:tab/>
      </w:r>
      <w:r>
        <w:rPr>
          <w:b w:val="0"/>
          <w:bCs/>
        </w:rPr>
        <w:fldChar w:fldCharType="begin"/>
      </w:r>
      <w:r>
        <w:rPr>
          <w:b w:val="0"/>
          <w:bCs/>
        </w:rPr>
        <w:instrText xml:space="preserve"> PAGEREF _Toc470167338 \h </w:instrText>
      </w:r>
      <w:r>
        <w:rPr>
          <w:b w:val="0"/>
          <w:bCs/>
        </w:rPr>
        <w:fldChar w:fldCharType="separate"/>
      </w:r>
      <w:r>
        <w:rPr>
          <w:b w:val="0"/>
          <w:bCs/>
        </w:rPr>
        <w:t>14</w:t>
      </w:r>
      <w:r>
        <w:rPr>
          <w:b w:val="0"/>
          <w:bCs/>
        </w:rPr>
        <w:fldChar w:fldCharType="end"/>
      </w:r>
      <w:r>
        <w:rPr>
          <w:b w:val="0"/>
          <w:bCs/>
        </w:rPr>
        <w:fldChar w:fldCharType="end"/>
      </w:r>
    </w:p>
    <w:p>
      <w:pPr>
        <w:pStyle w:val="12"/>
        <w:rPr>
          <w:iCs w:val="0"/>
          <w:sz w:val="21"/>
          <w:szCs w:val="22"/>
        </w:rPr>
      </w:pPr>
      <w:r>
        <w:rPr>
          <w:b w:val="0"/>
          <w:bCs/>
        </w:rPr>
        <w:fldChar w:fldCharType="begin"/>
      </w:r>
      <w:r>
        <w:rPr>
          <w:b w:val="0"/>
          <w:bCs/>
        </w:rPr>
        <w:instrText xml:space="preserve"> HYPERLINK \l "_Toc470167339" </w:instrText>
      </w:r>
      <w:r>
        <w:rPr>
          <w:b w:val="0"/>
          <w:bCs/>
        </w:rPr>
        <w:fldChar w:fldCharType="separate"/>
      </w:r>
      <w:r>
        <w:rPr>
          <w:rStyle w:val="30"/>
          <w:b w:val="0"/>
          <w:bCs/>
        </w:rPr>
        <w:t>4</w:t>
      </w:r>
      <w:r>
        <w:rPr>
          <w:rStyle w:val="30"/>
          <w:rFonts w:hint="eastAsia"/>
          <w:b w:val="0"/>
          <w:bCs/>
        </w:rPr>
        <w:t>、落实就业行业分布</w:t>
      </w:r>
      <w:r>
        <w:rPr>
          <w:b w:val="0"/>
          <w:bCs/>
        </w:rPr>
        <w:tab/>
      </w:r>
      <w:r>
        <w:rPr>
          <w:b w:val="0"/>
          <w:bCs/>
        </w:rPr>
        <w:fldChar w:fldCharType="begin"/>
      </w:r>
      <w:r>
        <w:rPr>
          <w:b w:val="0"/>
          <w:bCs/>
        </w:rPr>
        <w:instrText xml:space="preserve"> PAGEREF _Toc470167339 \h </w:instrText>
      </w:r>
      <w:r>
        <w:rPr>
          <w:b w:val="0"/>
          <w:bCs/>
        </w:rPr>
        <w:fldChar w:fldCharType="separate"/>
      </w:r>
      <w:r>
        <w:rPr>
          <w:b w:val="0"/>
          <w:bCs/>
        </w:rPr>
        <w:t>15</w:t>
      </w:r>
      <w:r>
        <w:rPr>
          <w:b w:val="0"/>
          <w:bCs/>
        </w:rPr>
        <w:fldChar w:fldCharType="end"/>
      </w:r>
      <w:r>
        <w:rPr>
          <w:b w:val="0"/>
          <w:bCs/>
        </w:rPr>
        <w:fldChar w:fldCharType="end"/>
      </w:r>
    </w:p>
    <w:p>
      <w:pPr>
        <w:pStyle w:val="19"/>
        <w:rPr>
          <w:b w:val="0"/>
          <w:bCs w:val="0"/>
          <w:caps w:val="0"/>
          <w:sz w:val="21"/>
          <w:szCs w:val="22"/>
        </w:rPr>
      </w:pPr>
      <w:r>
        <w:fldChar w:fldCharType="begin"/>
      </w:r>
      <w:r>
        <w:instrText xml:space="preserve"> HYPERLINK \l "_Toc470167340" </w:instrText>
      </w:r>
      <w:r>
        <w:fldChar w:fldCharType="separate"/>
      </w:r>
      <w:r>
        <w:rPr>
          <w:rStyle w:val="30"/>
          <w:rFonts w:hint="eastAsia"/>
        </w:rPr>
        <w:t>第三章　毕业生调查数据分析</w:t>
      </w:r>
      <w:r>
        <w:tab/>
      </w:r>
      <w:r>
        <w:rPr>
          <w:b w:val="0"/>
          <w:bCs w:val="0"/>
          <w:sz w:val="21"/>
          <w:szCs w:val="21"/>
        </w:rPr>
        <w:fldChar w:fldCharType="begin"/>
      </w:r>
      <w:r>
        <w:rPr>
          <w:b w:val="0"/>
          <w:bCs w:val="0"/>
          <w:sz w:val="21"/>
          <w:szCs w:val="21"/>
        </w:rPr>
        <w:instrText xml:space="preserve"> PAGEREF _Toc470167340 \h </w:instrText>
      </w:r>
      <w:r>
        <w:rPr>
          <w:b w:val="0"/>
          <w:bCs w:val="0"/>
          <w:sz w:val="21"/>
          <w:szCs w:val="21"/>
        </w:rPr>
        <w:fldChar w:fldCharType="separate"/>
      </w:r>
      <w:r>
        <w:rPr>
          <w:b w:val="0"/>
          <w:bCs w:val="0"/>
          <w:sz w:val="21"/>
          <w:szCs w:val="21"/>
        </w:rPr>
        <w:t>16</w:t>
      </w:r>
      <w:r>
        <w:rPr>
          <w:b w:val="0"/>
          <w:bCs w:val="0"/>
          <w:sz w:val="21"/>
          <w:szCs w:val="21"/>
        </w:rPr>
        <w:fldChar w:fldCharType="end"/>
      </w:r>
      <w:r>
        <w:fldChar w:fldCharType="end"/>
      </w:r>
    </w:p>
    <w:p>
      <w:pPr>
        <w:pStyle w:val="24"/>
        <w:rPr>
          <w:b w:val="0"/>
          <w:smallCaps w:val="0"/>
          <w:szCs w:val="22"/>
        </w:rPr>
      </w:pPr>
      <w:r>
        <w:fldChar w:fldCharType="begin"/>
      </w:r>
      <w:r>
        <w:instrText xml:space="preserve"> HYPERLINK \l "_Toc470167341" </w:instrText>
      </w:r>
      <w:r>
        <w:fldChar w:fldCharType="separate"/>
      </w:r>
      <w:r>
        <w:rPr>
          <w:rStyle w:val="30"/>
          <w:rFonts w:hint="eastAsia"/>
        </w:rPr>
        <w:t>一、引言</w:t>
      </w:r>
      <w:r>
        <w:tab/>
      </w:r>
      <w:r>
        <w:fldChar w:fldCharType="begin"/>
      </w:r>
      <w:r>
        <w:instrText xml:space="preserve"> PAGEREF _Toc470167341 \h </w:instrText>
      </w:r>
      <w:r>
        <w:fldChar w:fldCharType="separate"/>
      </w:r>
      <w:r>
        <w:t>16</w:t>
      </w:r>
      <w:r>
        <w:fldChar w:fldCharType="end"/>
      </w:r>
      <w:r>
        <w:fldChar w:fldCharType="end"/>
      </w:r>
    </w:p>
    <w:p>
      <w:pPr>
        <w:pStyle w:val="12"/>
        <w:rPr>
          <w:iCs w:val="0"/>
          <w:sz w:val="21"/>
          <w:szCs w:val="22"/>
        </w:rPr>
      </w:pPr>
      <w:r>
        <w:fldChar w:fldCharType="begin"/>
      </w:r>
      <w:r>
        <w:instrText xml:space="preserve"> HYPERLINK \l "_Toc470167342" </w:instrText>
      </w:r>
      <w:r>
        <w:fldChar w:fldCharType="separate"/>
      </w:r>
      <w:r>
        <w:rPr>
          <w:rStyle w:val="30"/>
          <w:rFonts w:hint="eastAsia"/>
        </w:rPr>
        <w:t>（一）调查方法</w:t>
      </w:r>
      <w:r>
        <w:tab/>
      </w:r>
      <w:r>
        <w:fldChar w:fldCharType="begin"/>
      </w:r>
      <w:r>
        <w:instrText xml:space="preserve"> PAGEREF _Toc470167342 \h </w:instrText>
      </w:r>
      <w:r>
        <w:fldChar w:fldCharType="separate"/>
      </w:r>
      <w:r>
        <w:t>16</w:t>
      </w:r>
      <w:r>
        <w:fldChar w:fldCharType="end"/>
      </w:r>
      <w:r>
        <w:fldChar w:fldCharType="end"/>
      </w:r>
    </w:p>
    <w:p>
      <w:pPr>
        <w:pStyle w:val="12"/>
        <w:rPr>
          <w:iCs w:val="0"/>
          <w:sz w:val="21"/>
          <w:szCs w:val="22"/>
        </w:rPr>
      </w:pPr>
      <w:r>
        <w:fldChar w:fldCharType="begin"/>
      </w:r>
      <w:r>
        <w:instrText xml:space="preserve"> HYPERLINK \l "_Toc470167343" </w:instrText>
      </w:r>
      <w:r>
        <w:fldChar w:fldCharType="separate"/>
      </w:r>
      <w:r>
        <w:rPr>
          <w:rStyle w:val="30"/>
          <w:rFonts w:hint="eastAsia"/>
        </w:rPr>
        <w:t>（二）分析方法</w:t>
      </w:r>
      <w:r>
        <w:tab/>
      </w:r>
      <w:r>
        <w:fldChar w:fldCharType="begin"/>
      </w:r>
      <w:r>
        <w:instrText xml:space="preserve"> PAGEREF _Toc470167343 \h </w:instrText>
      </w:r>
      <w:r>
        <w:fldChar w:fldCharType="separate"/>
      </w:r>
      <w:r>
        <w:t>16</w:t>
      </w:r>
      <w:r>
        <w:fldChar w:fldCharType="end"/>
      </w:r>
      <w:r>
        <w:fldChar w:fldCharType="end"/>
      </w:r>
    </w:p>
    <w:p>
      <w:pPr>
        <w:pStyle w:val="12"/>
        <w:rPr>
          <w:iCs w:val="0"/>
          <w:sz w:val="21"/>
          <w:szCs w:val="22"/>
        </w:rPr>
      </w:pPr>
      <w:r>
        <w:fldChar w:fldCharType="begin"/>
      </w:r>
      <w:r>
        <w:instrText xml:space="preserve"> HYPERLINK \l "_Toc470167344" </w:instrText>
      </w:r>
      <w:r>
        <w:fldChar w:fldCharType="separate"/>
      </w:r>
      <w:r>
        <w:rPr>
          <w:rStyle w:val="30"/>
          <w:rFonts w:hint="eastAsia"/>
        </w:rPr>
        <w:t>（三）样本特征</w:t>
      </w:r>
      <w:r>
        <w:tab/>
      </w:r>
      <w:r>
        <w:fldChar w:fldCharType="begin"/>
      </w:r>
      <w:r>
        <w:instrText xml:space="preserve"> PAGEREF _Toc470167344 \h </w:instrText>
      </w:r>
      <w:r>
        <w:fldChar w:fldCharType="separate"/>
      </w:r>
      <w:r>
        <w:t>16</w:t>
      </w:r>
      <w:r>
        <w:fldChar w:fldCharType="end"/>
      </w:r>
      <w:r>
        <w:fldChar w:fldCharType="end"/>
      </w:r>
    </w:p>
    <w:p>
      <w:pPr>
        <w:pStyle w:val="24"/>
        <w:rPr>
          <w:b w:val="0"/>
          <w:smallCaps w:val="0"/>
          <w:szCs w:val="22"/>
        </w:rPr>
      </w:pPr>
      <w:r>
        <w:fldChar w:fldCharType="begin"/>
      </w:r>
      <w:r>
        <w:instrText xml:space="preserve"> HYPERLINK \l "_Toc470167345" </w:instrText>
      </w:r>
      <w:r>
        <w:fldChar w:fldCharType="separate"/>
      </w:r>
      <w:r>
        <w:rPr>
          <w:rStyle w:val="30"/>
          <w:rFonts w:hint="eastAsia"/>
        </w:rPr>
        <w:t>二、自主创业</w:t>
      </w:r>
      <w:r>
        <w:tab/>
      </w:r>
      <w:r>
        <w:fldChar w:fldCharType="begin"/>
      </w:r>
      <w:r>
        <w:instrText xml:space="preserve"> PAGEREF _Toc470167345 \h </w:instrText>
      </w:r>
      <w:r>
        <w:fldChar w:fldCharType="separate"/>
      </w:r>
      <w:r>
        <w:t>17</w:t>
      </w:r>
      <w:r>
        <w:fldChar w:fldCharType="end"/>
      </w:r>
      <w:r>
        <w:fldChar w:fldCharType="end"/>
      </w:r>
    </w:p>
    <w:p>
      <w:pPr>
        <w:pStyle w:val="12"/>
        <w:rPr>
          <w:iCs w:val="0"/>
          <w:sz w:val="21"/>
          <w:szCs w:val="22"/>
        </w:rPr>
      </w:pPr>
      <w:r>
        <w:fldChar w:fldCharType="begin"/>
      </w:r>
      <w:r>
        <w:instrText xml:space="preserve"> HYPERLINK \l "_Toc470167346" </w:instrText>
      </w:r>
      <w:r>
        <w:fldChar w:fldCharType="separate"/>
      </w:r>
      <w:r>
        <w:rPr>
          <w:rStyle w:val="30"/>
          <w:rFonts w:hint="eastAsia"/>
        </w:rPr>
        <w:t>（一）自主创业的原因</w:t>
      </w:r>
      <w:r>
        <w:tab/>
      </w:r>
      <w:r>
        <w:fldChar w:fldCharType="begin"/>
      </w:r>
      <w:r>
        <w:instrText xml:space="preserve"> PAGEREF _Toc470167346 \h </w:instrText>
      </w:r>
      <w:r>
        <w:fldChar w:fldCharType="separate"/>
      </w:r>
      <w:r>
        <w:t>17</w:t>
      </w:r>
      <w:r>
        <w:fldChar w:fldCharType="end"/>
      </w:r>
      <w:r>
        <w:fldChar w:fldCharType="end"/>
      </w:r>
    </w:p>
    <w:p>
      <w:pPr>
        <w:pStyle w:val="12"/>
        <w:rPr>
          <w:iCs w:val="0"/>
          <w:sz w:val="21"/>
          <w:szCs w:val="22"/>
        </w:rPr>
      </w:pPr>
      <w:r>
        <w:fldChar w:fldCharType="begin"/>
      </w:r>
      <w:r>
        <w:instrText xml:space="preserve"> HYPERLINK \l "_Toc470167347" </w:instrText>
      </w:r>
      <w:r>
        <w:fldChar w:fldCharType="separate"/>
      </w:r>
      <w:r>
        <w:rPr>
          <w:rStyle w:val="30"/>
          <w:rFonts w:hint="eastAsia"/>
        </w:rPr>
        <w:t>（二）自主创业的地区</w:t>
      </w:r>
      <w:r>
        <w:tab/>
      </w:r>
      <w:r>
        <w:fldChar w:fldCharType="begin"/>
      </w:r>
      <w:r>
        <w:instrText xml:space="preserve"> PAGEREF _Toc470167347 \h </w:instrText>
      </w:r>
      <w:r>
        <w:fldChar w:fldCharType="separate"/>
      </w:r>
      <w:r>
        <w:t>18</w:t>
      </w:r>
      <w:r>
        <w:fldChar w:fldCharType="end"/>
      </w:r>
      <w:r>
        <w:fldChar w:fldCharType="end"/>
      </w:r>
    </w:p>
    <w:p>
      <w:pPr>
        <w:pStyle w:val="12"/>
        <w:rPr>
          <w:iCs w:val="0"/>
          <w:sz w:val="21"/>
          <w:szCs w:val="22"/>
        </w:rPr>
      </w:pPr>
      <w:r>
        <w:fldChar w:fldCharType="begin"/>
      </w:r>
      <w:r>
        <w:instrText xml:space="preserve"> HYPERLINK \l "_Toc470167348" </w:instrText>
      </w:r>
      <w:r>
        <w:fldChar w:fldCharType="separate"/>
      </w:r>
      <w:r>
        <w:rPr>
          <w:rStyle w:val="30"/>
          <w:rFonts w:hint="eastAsia"/>
        </w:rPr>
        <w:t>（三）自主创业的行业</w:t>
      </w:r>
      <w:r>
        <w:tab/>
      </w:r>
      <w:r>
        <w:fldChar w:fldCharType="begin"/>
      </w:r>
      <w:r>
        <w:instrText xml:space="preserve"> PAGEREF _Toc470167348 \h </w:instrText>
      </w:r>
      <w:r>
        <w:fldChar w:fldCharType="separate"/>
      </w:r>
      <w:r>
        <w:t>20</w:t>
      </w:r>
      <w:r>
        <w:fldChar w:fldCharType="end"/>
      </w:r>
      <w:r>
        <w:fldChar w:fldCharType="end"/>
      </w:r>
    </w:p>
    <w:p>
      <w:pPr>
        <w:pStyle w:val="12"/>
        <w:rPr>
          <w:iCs w:val="0"/>
          <w:sz w:val="21"/>
          <w:szCs w:val="22"/>
        </w:rPr>
      </w:pPr>
      <w:r>
        <w:fldChar w:fldCharType="begin"/>
      </w:r>
      <w:r>
        <w:instrText xml:space="preserve"> HYPERLINK \l "_Toc470167349" </w:instrText>
      </w:r>
      <w:r>
        <w:fldChar w:fldCharType="separate"/>
      </w:r>
      <w:r>
        <w:rPr>
          <w:rStyle w:val="30"/>
          <w:rFonts w:hint="eastAsia"/>
        </w:rPr>
        <w:t>（四）创业工作与所学专业的相关程度</w:t>
      </w:r>
      <w:r>
        <w:tab/>
      </w:r>
      <w:r>
        <w:fldChar w:fldCharType="begin"/>
      </w:r>
      <w:r>
        <w:instrText xml:space="preserve"> PAGEREF _Toc470167349 \h </w:instrText>
      </w:r>
      <w:r>
        <w:fldChar w:fldCharType="separate"/>
      </w:r>
      <w:r>
        <w:t>21</w:t>
      </w:r>
      <w:r>
        <w:fldChar w:fldCharType="end"/>
      </w:r>
      <w:r>
        <w:fldChar w:fldCharType="end"/>
      </w:r>
    </w:p>
    <w:p>
      <w:pPr>
        <w:pStyle w:val="12"/>
        <w:rPr>
          <w:iCs w:val="0"/>
          <w:sz w:val="21"/>
          <w:szCs w:val="22"/>
        </w:rPr>
      </w:pPr>
      <w:r>
        <w:fldChar w:fldCharType="begin"/>
      </w:r>
      <w:r>
        <w:instrText xml:space="preserve"> HYPERLINK \l "_Toc470167350" </w:instrText>
      </w:r>
      <w:r>
        <w:fldChar w:fldCharType="separate"/>
      </w:r>
      <w:r>
        <w:rPr>
          <w:rStyle w:val="30"/>
          <w:rFonts w:hint="eastAsia"/>
        </w:rPr>
        <w:t>（五）创业项目的筹资途径</w:t>
      </w:r>
      <w:r>
        <w:tab/>
      </w:r>
      <w:r>
        <w:fldChar w:fldCharType="begin"/>
      </w:r>
      <w:r>
        <w:instrText xml:space="preserve"> PAGEREF _Toc470167350 \h </w:instrText>
      </w:r>
      <w:r>
        <w:fldChar w:fldCharType="separate"/>
      </w:r>
      <w:r>
        <w:t>22</w:t>
      </w:r>
      <w:r>
        <w:fldChar w:fldCharType="end"/>
      </w:r>
      <w:r>
        <w:fldChar w:fldCharType="end"/>
      </w:r>
    </w:p>
    <w:p>
      <w:pPr>
        <w:pStyle w:val="12"/>
        <w:rPr>
          <w:iCs w:val="0"/>
          <w:sz w:val="21"/>
          <w:szCs w:val="22"/>
        </w:rPr>
      </w:pPr>
      <w:r>
        <w:fldChar w:fldCharType="begin"/>
      </w:r>
      <w:r>
        <w:instrText xml:space="preserve"> HYPERLINK \l "_Toc470167351" </w:instrText>
      </w:r>
      <w:r>
        <w:fldChar w:fldCharType="separate"/>
      </w:r>
      <w:r>
        <w:rPr>
          <w:rStyle w:val="30"/>
          <w:rFonts w:hint="eastAsia"/>
        </w:rPr>
        <w:t>（六）创业组织经营年限及人员规模</w:t>
      </w:r>
      <w:r>
        <w:tab/>
      </w:r>
      <w:r>
        <w:fldChar w:fldCharType="begin"/>
      </w:r>
      <w:r>
        <w:instrText xml:space="preserve"> PAGEREF _Toc470167351 \h </w:instrText>
      </w:r>
      <w:r>
        <w:fldChar w:fldCharType="separate"/>
      </w:r>
      <w:r>
        <w:t>23</w:t>
      </w:r>
      <w:r>
        <w:fldChar w:fldCharType="end"/>
      </w:r>
      <w:r>
        <w:fldChar w:fldCharType="end"/>
      </w:r>
    </w:p>
    <w:p>
      <w:pPr>
        <w:pStyle w:val="12"/>
        <w:rPr>
          <w:iCs w:val="0"/>
          <w:sz w:val="21"/>
          <w:szCs w:val="22"/>
        </w:rPr>
      </w:pPr>
      <w:r>
        <w:fldChar w:fldCharType="begin"/>
      </w:r>
      <w:r>
        <w:instrText xml:space="preserve"> HYPERLINK \l "_Toc470167354" </w:instrText>
      </w:r>
      <w:r>
        <w:fldChar w:fldCharType="separate"/>
      </w:r>
      <w:r>
        <w:rPr>
          <w:rStyle w:val="30"/>
          <w:rFonts w:hint="eastAsia"/>
        </w:rPr>
        <w:t>（七）创业项目投资额及实现利润额</w:t>
      </w:r>
      <w:r>
        <w:tab/>
      </w:r>
      <w:r>
        <w:fldChar w:fldCharType="begin"/>
      </w:r>
      <w:r>
        <w:instrText xml:space="preserve"> PAGEREF _Toc470167354 \h </w:instrText>
      </w:r>
      <w:r>
        <w:fldChar w:fldCharType="separate"/>
      </w:r>
      <w:r>
        <w:t>24</w:t>
      </w:r>
      <w:r>
        <w:fldChar w:fldCharType="end"/>
      </w:r>
      <w:r>
        <w:fldChar w:fldCharType="end"/>
      </w:r>
    </w:p>
    <w:p>
      <w:pPr>
        <w:pStyle w:val="12"/>
        <w:rPr>
          <w:iCs w:val="0"/>
          <w:sz w:val="21"/>
          <w:szCs w:val="22"/>
        </w:rPr>
      </w:pPr>
      <w:r>
        <w:fldChar w:fldCharType="begin"/>
      </w:r>
      <w:r>
        <w:instrText xml:space="preserve"> HYPERLINK \l "_Toc470167357" </w:instrText>
      </w:r>
      <w:r>
        <w:fldChar w:fldCharType="separate"/>
      </w:r>
      <w:r>
        <w:rPr>
          <w:rStyle w:val="30"/>
          <w:rFonts w:hint="eastAsia"/>
        </w:rPr>
        <w:t>（八）创业过程中遇到的问题</w:t>
      </w:r>
      <w:r>
        <w:tab/>
      </w:r>
      <w:r>
        <w:fldChar w:fldCharType="begin"/>
      </w:r>
      <w:r>
        <w:instrText xml:space="preserve"> PAGEREF _Toc470167357 \h </w:instrText>
      </w:r>
      <w:r>
        <w:fldChar w:fldCharType="separate"/>
      </w:r>
      <w:r>
        <w:t>24</w:t>
      </w:r>
      <w:r>
        <w:fldChar w:fldCharType="end"/>
      </w:r>
      <w:r>
        <w:fldChar w:fldCharType="end"/>
      </w:r>
    </w:p>
    <w:p>
      <w:pPr>
        <w:pStyle w:val="24"/>
        <w:rPr>
          <w:b w:val="0"/>
          <w:smallCaps w:val="0"/>
          <w:szCs w:val="22"/>
        </w:rPr>
      </w:pPr>
      <w:r>
        <w:fldChar w:fldCharType="begin"/>
      </w:r>
      <w:r>
        <w:instrText xml:space="preserve"> HYPERLINK \l "_Toc470167358" </w:instrText>
      </w:r>
      <w:r>
        <w:fldChar w:fldCharType="separate"/>
      </w:r>
      <w:r>
        <w:rPr>
          <w:rStyle w:val="30"/>
          <w:rFonts w:hint="eastAsia"/>
        </w:rPr>
        <w:t>三、专科生调查数据分析</w:t>
      </w:r>
      <w:r>
        <w:tab/>
      </w:r>
      <w:r>
        <w:rPr>
          <w:b/>
          <w:bCs w:val="0"/>
        </w:rPr>
        <w:fldChar w:fldCharType="begin"/>
      </w:r>
      <w:r>
        <w:rPr>
          <w:b/>
          <w:bCs w:val="0"/>
        </w:rPr>
        <w:instrText xml:space="preserve"> PAGEREF _Toc470167358 \h </w:instrText>
      </w:r>
      <w:r>
        <w:rPr>
          <w:b/>
          <w:bCs w:val="0"/>
        </w:rPr>
        <w:fldChar w:fldCharType="separate"/>
      </w:r>
      <w:r>
        <w:rPr>
          <w:b/>
          <w:bCs w:val="0"/>
        </w:rPr>
        <w:t>25</w:t>
      </w:r>
      <w:r>
        <w:rPr>
          <w:b/>
          <w:bCs w:val="0"/>
        </w:rPr>
        <w:fldChar w:fldCharType="end"/>
      </w:r>
      <w:r>
        <w:fldChar w:fldCharType="end"/>
      </w:r>
    </w:p>
    <w:p>
      <w:pPr>
        <w:pStyle w:val="12"/>
        <w:rPr>
          <w:iCs w:val="0"/>
          <w:sz w:val="21"/>
          <w:szCs w:val="22"/>
        </w:rPr>
      </w:pPr>
      <w:r>
        <w:fldChar w:fldCharType="begin"/>
      </w:r>
      <w:r>
        <w:instrText xml:space="preserve"> HYPERLINK \l "_Toc470167359" </w:instrText>
      </w:r>
      <w:r>
        <w:fldChar w:fldCharType="separate"/>
      </w:r>
      <w:r>
        <w:rPr>
          <w:rStyle w:val="30"/>
          <w:rFonts w:hint="eastAsia"/>
        </w:rPr>
        <w:t>（一）专科生专业培养及就业创业教育反馈</w:t>
      </w:r>
      <w:r>
        <w:tab/>
      </w:r>
      <w:r>
        <w:fldChar w:fldCharType="begin"/>
      </w:r>
      <w:r>
        <w:instrText xml:space="preserve"> PAGEREF _Toc470167359 \h </w:instrText>
      </w:r>
      <w:r>
        <w:fldChar w:fldCharType="separate"/>
      </w:r>
      <w:r>
        <w:t>25</w:t>
      </w:r>
      <w:r>
        <w:fldChar w:fldCharType="end"/>
      </w:r>
      <w:r>
        <w:fldChar w:fldCharType="end"/>
      </w:r>
    </w:p>
    <w:p>
      <w:pPr>
        <w:pStyle w:val="20"/>
        <w:rPr>
          <w:sz w:val="21"/>
          <w:szCs w:val="22"/>
        </w:rPr>
      </w:pPr>
      <w:r>
        <w:fldChar w:fldCharType="begin"/>
      </w:r>
      <w:r>
        <w:instrText xml:space="preserve"> HYPERLINK \l "_Toc470167360" </w:instrText>
      </w:r>
      <w:r>
        <w:fldChar w:fldCharType="separate"/>
      </w:r>
      <w:r>
        <w:rPr>
          <w:rStyle w:val="30"/>
        </w:rPr>
        <w:t>1</w:t>
      </w:r>
      <w:r>
        <w:rPr>
          <w:rStyle w:val="30"/>
          <w:rFonts w:hint="eastAsia"/>
        </w:rPr>
        <w:t>、专业认同情况</w:t>
      </w:r>
      <w:r>
        <w:tab/>
      </w:r>
      <w:r>
        <w:fldChar w:fldCharType="begin"/>
      </w:r>
      <w:r>
        <w:instrText xml:space="preserve"> PAGEREF _Toc470167360 \h </w:instrText>
      </w:r>
      <w:r>
        <w:fldChar w:fldCharType="separate"/>
      </w:r>
      <w:r>
        <w:t>25</w:t>
      </w:r>
      <w:r>
        <w:fldChar w:fldCharType="end"/>
      </w:r>
      <w:r>
        <w:fldChar w:fldCharType="end"/>
      </w:r>
    </w:p>
    <w:p>
      <w:pPr>
        <w:pStyle w:val="20"/>
        <w:rPr>
          <w:sz w:val="21"/>
          <w:szCs w:val="22"/>
        </w:rPr>
      </w:pPr>
      <w:r>
        <w:fldChar w:fldCharType="begin"/>
      </w:r>
      <w:r>
        <w:instrText xml:space="preserve"> HYPERLINK \l "_Toc470167361" </w:instrText>
      </w:r>
      <w:r>
        <w:fldChar w:fldCharType="separate"/>
      </w:r>
      <w:r>
        <w:rPr>
          <w:rStyle w:val="30"/>
        </w:rPr>
        <w:t>2</w:t>
      </w:r>
      <w:r>
        <w:rPr>
          <w:rStyle w:val="30"/>
          <w:rFonts w:hint="eastAsia"/>
        </w:rPr>
        <w:t>、专业培养情况</w:t>
      </w:r>
      <w:r>
        <w:tab/>
      </w:r>
      <w:r>
        <w:fldChar w:fldCharType="begin"/>
      </w:r>
      <w:r>
        <w:instrText xml:space="preserve"> PAGEREF _Toc470167361 \h </w:instrText>
      </w:r>
      <w:r>
        <w:fldChar w:fldCharType="separate"/>
      </w:r>
      <w:r>
        <w:t>27</w:t>
      </w:r>
      <w:r>
        <w:fldChar w:fldCharType="end"/>
      </w:r>
      <w:r>
        <w:fldChar w:fldCharType="end"/>
      </w:r>
    </w:p>
    <w:p>
      <w:pPr>
        <w:pStyle w:val="20"/>
        <w:rPr>
          <w:sz w:val="21"/>
          <w:szCs w:val="22"/>
        </w:rPr>
      </w:pPr>
      <w:r>
        <w:fldChar w:fldCharType="begin"/>
      </w:r>
      <w:r>
        <w:instrText xml:space="preserve"> HYPERLINK \l "_Toc470167362" </w:instrText>
      </w:r>
      <w:r>
        <w:fldChar w:fldCharType="separate"/>
      </w:r>
      <w:r>
        <w:rPr>
          <w:rStyle w:val="30"/>
        </w:rPr>
        <w:t>3</w:t>
      </w:r>
      <w:r>
        <w:rPr>
          <w:rStyle w:val="30"/>
          <w:rFonts w:hint="eastAsia"/>
        </w:rPr>
        <w:t>、对就业教育及服务的评价</w:t>
      </w:r>
      <w:r>
        <w:tab/>
      </w:r>
      <w:r>
        <w:fldChar w:fldCharType="begin"/>
      </w:r>
      <w:r>
        <w:instrText xml:space="preserve"> PAGEREF _Toc470167362 \h </w:instrText>
      </w:r>
      <w:r>
        <w:fldChar w:fldCharType="separate"/>
      </w:r>
      <w:r>
        <w:t>31</w:t>
      </w:r>
      <w:r>
        <w:fldChar w:fldCharType="end"/>
      </w:r>
      <w:r>
        <w:fldChar w:fldCharType="end"/>
      </w:r>
    </w:p>
    <w:p>
      <w:pPr>
        <w:pStyle w:val="20"/>
        <w:rPr>
          <w:sz w:val="21"/>
          <w:szCs w:val="22"/>
        </w:rPr>
      </w:pPr>
      <w:r>
        <w:fldChar w:fldCharType="begin"/>
      </w:r>
      <w:r>
        <w:instrText xml:space="preserve"> HYPERLINK \l "_Toc470167363" </w:instrText>
      </w:r>
      <w:r>
        <w:fldChar w:fldCharType="separate"/>
      </w:r>
      <w:r>
        <w:rPr>
          <w:rStyle w:val="30"/>
        </w:rPr>
        <w:t>4</w:t>
      </w:r>
      <w:r>
        <w:rPr>
          <w:rStyle w:val="30"/>
          <w:rFonts w:hint="eastAsia"/>
        </w:rPr>
        <w:t>、对创业教育及服务的评价</w:t>
      </w:r>
      <w:r>
        <w:tab/>
      </w:r>
      <w:r>
        <w:fldChar w:fldCharType="begin"/>
      </w:r>
      <w:r>
        <w:instrText xml:space="preserve"> PAGEREF _Toc470167363 \h </w:instrText>
      </w:r>
      <w:r>
        <w:fldChar w:fldCharType="separate"/>
      </w:r>
      <w:r>
        <w:t>35</w:t>
      </w:r>
      <w:r>
        <w:fldChar w:fldCharType="end"/>
      </w:r>
      <w:r>
        <w:fldChar w:fldCharType="end"/>
      </w:r>
    </w:p>
    <w:p>
      <w:pPr>
        <w:pStyle w:val="20"/>
        <w:rPr>
          <w:sz w:val="21"/>
          <w:szCs w:val="22"/>
        </w:rPr>
      </w:pPr>
      <w:r>
        <w:fldChar w:fldCharType="begin"/>
      </w:r>
      <w:r>
        <w:instrText xml:space="preserve"> HYPERLINK \l "_Toc470167364" </w:instrText>
      </w:r>
      <w:r>
        <w:fldChar w:fldCharType="separate"/>
      </w:r>
      <w:r>
        <w:rPr>
          <w:rStyle w:val="30"/>
        </w:rPr>
        <w:t>5</w:t>
      </w:r>
      <w:r>
        <w:rPr>
          <w:rStyle w:val="30"/>
          <w:rFonts w:hint="eastAsia"/>
        </w:rPr>
        <w:t>、创业计划情况</w:t>
      </w:r>
      <w:r>
        <w:tab/>
      </w:r>
      <w:r>
        <w:fldChar w:fldCharType="begin"/>
      </w:r>
      <w:r>
        <w:instrText xml:space="preserve"> PAGEREF _Toc470167364 \h </w:instrText>
      </w:r>
      <w:r>
        <w:fldChar w:fldCharType="separate"/>
      </w:r>
      <w:r>
        <w:t>36</w:t>
      </w:r>
      <w:r>
        <w:fldChar w:fldCharType="end"/>
      </w:r>
      <w:r>
        <w:fldChar w:fldCharType="end"/>
      </w:r>
    </w:p>
    <w:p>
      <w:pPr>
        <w:pStyle w:val="20"/>
        <w:rPr>
          <w:sz w:val="21"/>
          <w:szCs w:val="22"/>
        </w:rPr>
      </w:pPr>
      <w:r>
        <w:fldChar w:fldCharType="begin"/>
      </w:r>
      <w:r>
        <w:instrText xml:space="preserve"> HYPERLINK \l "_Toc470167365" </w:instrText>
      </w:r>
      <w:r>
        <w:fldChar w:fldCharType="separate"/>
      </w:r>
      <w:r>
        <w:rPr>
          <w:rStyle w:val="30"/>
        </w:rPr>
        <w:t>6</w:t>
      </w:r>
      <w:r>
        <w:rPr>
          <w:rStyle w:val="30"/>
          <w:rFonts w:hint="eastAsia"/>
        </w:rPr>
        <w:t>、创业教育的收获</w:t>
      </w:r>
      <w:r>
        <w:tab/>
      </w:r>
      <w:r>
        <w:fldChar w:fldCharType="begin"/>
      </w:r>
      <w:r>
        <w:instrText xml:space="preserve"> PAGEREF _Toc470167365 \h </w:instrText>
      </w:r>
      <w:r>
        <w:fldChar w:fldCharType="separate"/>
      </w:r>
      <w:r>
        <w:t>37</w:t>
      </w:r>
      <w:r>
        <w:fldChar w:fldCharType="end"/>
      </w:r>
      <w:r>
        <w:fldChar w:fldCharType="end"/>
      </w:r>
    </w:p>
    <w:p>
      <w:pPr>
        <w:pStyle w:val="12"/>
        <w:rPr>
          <w:iCs w:val="0"/>
          <w:sz w:val="21"/>
          <w:szCs w:val="22"/>
        </w:rPr>
      </w:pPr>
      <w:r>
        <w:fldChar w:fldCharType="begin"/>
      </w:r>
      <w:r>
        <w:instrText xml:space="preserve"> HYPERLINK \l "_Toc470167366" </w:instrText>
      </w:r>
      <w:r>
        <w:fldChar w:fldCharType="separate"/>
      </w:r>
      <w:r>
        <w:rPr>
          <w:rStyle w:val="30"/>
          <w:rFonts w:hint="eastAsia"/>
        </w:rPr>
        <w:t>（二）专科生就业结果</w:t>
      </w:r>
      <w:r>
        <w:tab/>
      </w:r>
      <w:r>
        <w:fldChar w:fldCharType="begin"/>
      </w:r>
      <w:r>
        <w:instrText xml:space="preserve"> PAGEREF _Toc470167366 \h </w:instrText>
      </w:r>
      <w:r>
        <w:fldChar w:fldCharType="separate"/>
      </w:r>
      <w:r>
        <w:t>38</w:t>
      </w:r>
      <w:r>
        <w:fldChar w:fldCharType="end"/>
      </w:r>
      <w:r>
        <w:fldChar w:fldCharType="end"/>
      </w:r>
    </w:p>
    <w:p>
      <w:pPr>
        <w:pStyle w:val="20"/>
        <w:rPr>
          <w:sz w:val="21"/>
          <w:szCs w:val="22"/>
        </w:rPr>
      </w:pPr>
      <w:r>
        <w:fldChar w:fldCharType="begin"/>
      </w:r>
      <w:r>
        <w:instrText xml:space="preserve"> HYPERLINK \l "_Toc470167367" </w:instrText>
      </w:r>
      <w:r>
        <w:fldChar w:fldCharType="separate"/>
      </w:r>
      <w:r>
        <w:rPr>
          <w:rStyle w:val="30"/>
        </w:rPr>
        <w:t>1</w:t>
      </w:r>
      <w:r>
        <w:rPr>
          <w:rStyle w:val="30"/>
          <w:rFonts w:hint="eastAsia"/>
        </w:rPr>
        <w:t>、就业满意度</w:t>
      </w:r>
      <w:r>
        <w:tab/>
      </w:r>
      <w:r>
        <w:fldChar w:fldCharType="begin"/>
      </w:r>
      <w:r>
        <w:instrText xml:space="preserve"> PAGEREF _Toc470167367 \h </w:instrText>
      </w:r>
      <w:r>
        <w:fldChar w:fldCharType="separate"/>
      </w:r>
      <w:r>
        <w:t>38</w:t>
      </w:r>
      <w:r>
        <w:fldChar w:fldCharType="end"/>
      </w:r>
      <w:r>
        <w:fldChar w:fldCharType="end"/>
      </w:r>
    </w:p>
    <w:p>
      <w:pPr>
        <w:pStyle w:val="20"/>
        <w:rPr>
          <w:sz w:val="21"/>
          <w:szCs w:val="22"/>
        </w:rPr>
      </w:pPr>
      <w:r>
        <w:fldChar w:fldCharType="begin"/>
      </w:r>
      <w:r>
        <w:instrText xml:space="preserve"> HYPERLINK \l "_Toc470167368" </w:instrText>
      </w:r>
      <w:r>
        <w:fldChar w:fldCharType="separate"/>
      </w:r>
      <w:r>
        <w:rPr>
          <w:rStyle w:val="30"/>
        </w:rPr>
        <w:t>2</w:t>
      </w:r>
      <w:r>
        <w:rPr>
          <w:rStyle w:val="30"/>
          <w:rFonts w:hint="eastAsia"/>
        </w:rPr>
        <w:t>、就业地区</w:t>
      </w:r>
      <w:r>
        <w:tab/>
      </w:r>
      <w:r>
        <w:fldChar w:fldCharType="begin"/>
      </w:r>
      <w:r>
        <w:instrText xml:space="preserve"> PAGEREF _Toc470167368 \h </w:instrText>
      </w:r>
      <w:r>
        <w:fldChar w:fldCharType="separate"/>
      </w:r>
      <w:r>
        <w:t>39</w:t>
      </w:r>
      <w:r>
        <w:fldChar w:fldCharType="end"/>
      </w:r>
      <w:r>
        <w:fldChar w:fldCharType="end"/>
      </w:r>
    </w:p>
    <w:p>
      <w:pPr>
        <w:pStyle w:val="20"/>
        <w:rPr>
          <w:sz w:val="21"/>
          <w:szCs w:val="22"/>
        </w:rPr>
      </w:pPr>
      <w:r>
        <w:fldChar w:fldCharType="begin"/>
      </w:r>
      <w:r>
        <w:instrText xml:space="preserve"> HYPERLINK \l "_Toc470167369" </w:instrText>
      </w:r>
      <w:r>
        <w:fldChar w:fldCharType="separate"/>
      </w:r>
      <w:r>
        <w:rPr>
          <w:rStyle w:val="30"/>
        </w:rPr>
        <w:t>3</w:t>
      </w:r>
      <w:r>
        <w:rPr>
          <w:rStyle w:val="30"/>
          <w:rFonts w:hint="eastAsia"/>
        </w:rPr>
        <w:t>、就业城市类型</w:t>
      </w:r>
      <w:r>
        <w:tab/>
      </w:r>
      <w:r>
        <w:fldChar w:fldCharType="begin"/>
      </w:r>
      <w:r>
        <w:instrText xml:space="preserve"> PAGEREF _Toc470167369 \h </w:instrText>
      </w:r>
      <w:r>
        <w:fldChar w:fldCharType="separate"/>
      </w:r>
      <w:r>
        <w:t>40</w:t>
      </w:r>
      <w:r>
        <w:fldChar w:fldCharType="end"/>
      </w:r>
      <w:r>
        <w:fldChar w:fldCharType="end"/>
      </w:r>
    </w:p>
    <w:p>
      <w:pPr>
        <w:pStyle w:val="20"/>
        <w:rPr>
          <w:sz w:val="21"/>
          <w:szCs w:val="22"/>
        </w:rPr>
      </w:pPr>
      <w:r>
        <w:fldChar w:fldCharType="begin"/>
      </w:r>
      <w:r>
        <w:instrText xml:space="preserve"> HYPERLINK \l "_Toc470167370" </w:instrText>
      </w:r>
      <w:r>
        <w:fldChar w:fldCharType="separate"/>
      </w:r>
      <w:r>
        <w:rPr>
          <w:rStyle w:val="30"/>
        </w:rPr>
        <w:t>4</w:t>
      </w:r>
      <w:r>
        <w:rPr>
          <w:rStyle w:val="30"/>
          <w:rFonts w:hint="eastAsia"/>
        </w:rPr>
        <w:t>、单位类型</w:t>
      </w:r>
      <w:r>
        <w:tab/>
      </w:r>
      <w:r>
        <w:fldChar w:fldCharType="begin"/>
      </w:r>
      <w:r>
        <w:instrText xml:space="preserve"> PAGEREF _Toc470167370 \h </w:instrText>
      </w:r>
      <w:r>
        <w:fldChar w:fldCharType="separate"/>
      </w:r>
      <w:r>
        <w:t>40</w:t>
      </w:r>
      <w:r>
        <w:fldChar w:fldCharType="end"/>
      </w:r>
      <w:r>
        <w:fldChar w:fldCharType="end"/>
      </w:r>
    </w:p>
    <w:p>
      <w:pPr>
        <w:pStyle w:val="20"/>
        <w:rPr>
          <w:sz w:val="21"/>
          <w:szCs w:val="22"/>
        </w:rPr>
      </w:pPr>
      <w:r>
        <w:fldChar w:fldCharType="begin"/>
      </w:r>
      <w:r>
        <w:instrText xml:space="preserve"> HYPERLINK \l "_Toc470167371" </w:instrText>
      </w:r>
      <w:r>
        <w:fldChar w:fldCharType="separate"/>
      </w:r>
      <w:r>
        <w:rPr>
          <w:rStyle w:val="30"/>
        </w:rPr>
        <w:t>5</w:t>
      </w:r>
      <w:r>
        <w:rPr>
          <w:rStyle w:val="30"/>
          <w:rFonts w:hint="eastAsia"/>
        </w:rPr>
        <w:t>、就业行业</w:t>
      </w:r>
      <w:r>
        <w:tab/>
      </w:r>
      <w:r>
        <w:fldChar w:fldCharType="begin"/>
      </w:r>
      <w:r>
        <w:instrText xml:space="preserve"> PAGEREF _Toc470167371 \h </w:instrText>
      </w:r>
      <w:r>
        <w:fldChar w:fldCharType="separate"/>
      </w:r>
      <w:r>
        <w:t>41</w:t>
      </w:r>
      <w:r>
        <w:fldChar w:fldCharType="end"/>
      </w:r>
      <w:r>
        <w:fldChar w:fldCharType="end"/>
      </w:r>
    </w:p>
    <w:p>
      <w:pPr>
        <w:pStyle w:val="20"/>
        <w:rPr>
          <w:sz w:val="21"/>
          <w:szCs w:val="22"/>
        </w:rPr>
      </w:pPr>
      <w:r>
        <w:fldChar w:fldCharType="begin"/>
      </w:r>
      <w:r>
        <w:instrText xml:space="preserve"> HYPERLINK \l "_Toc470167372" </w:instrText>
      </w:r>
      <w:r>
        <w:fldChar w:fldCharType="separate"/>
      </w:r>
      <w:r>
        <w:rPr>
          <w:rStyle w:val="30"/>
        </w:rPr>
        <w:t>6</w:t>
      </w:r>
      <w:r>
        <w:rPr>
          <w:rStyle w:val="30"/>
          <w:rFonts w:hint="eastAsia"/>
        </w:rPr>
        <w:t>、年薪</w:t>
      </w:r>
      <w:r>
        <w:tab/>
      </w:r>
      <w:r>
        <w:fldChar w:fldCharType="begin"/>
      </w:r>
      <w:r>
        <w:instrText xml:space="preserve"> PAGEREF _Toc470167372 \h </w:instrText>
      </w:r>
      <w:r>
        <w:fldChar w:fldCharType="separate"/>
      </w:r>
      <w:r>
        <w:t>42</w:t>
      </w:r>
      <w:r>
        <w:fldChar w:fldCharType="end"/>
      </w:r>
      <w:r>
        <w:fldChar w:fldCharType="end"/>
      </w:r>
    </w:p>
    <w:p>
      <w:pPr>
        <w:pStyle w:val="20"/>
        <w:rPr>
          <w:sz w:val="21"/>
          <w:szCs w:val="22"/>
        </w:rPr>
      </w:pPr>
      <w:r>
        <w:fldChar w:fldCharType="begin"/>
      </w:r>
      <w:r>
        <w:instrText xml:space="preserve"> HYPERLINK \l "_Toc470167373" </w:instrText>
      </w:r>
      <w:r>
        <w:fldChar w:fldCharType="separate"/>
      </w:r>
      <w:r>
        <w:rPr>
          <w:rStyle w:val="30"/>
        </w:rPr>
        <w:t>7</w:t>
      </w:r>
      <w:r>
        <w:rPr>
          <w:rStyle w:val="30"/>
          <w:rFonts w:hint="eastAsia"/>
        </w:rPr>
        <w:t>、福利保障</w:t>
      </w:r>
      <w:r>
        <w:tab/>
      </w:r>
      <w:r>
        <w:fldChar w:fldCharType="begin"/>
      </w:r>
      <w:r>
        <w:instrText xml:space="preserve"> PAGEREF _Toc470167373 \h </w:instrText>
      </w:r>
      <w:r>
        <w:fldChar w:fldCharType="separate"/>
      </w:r>
      <w:r>
        <w:t>43</w:t>
      </w:r>
      <w:r>
        <w:fldChar w:fldCharType="end"/>
      </w:r>
      <w:r>
        <w:fldChar w:fldCharType="end"/>
      </w:r>
    </w:p>
    <w:p>
      <w:pPr>
        <w:pStyle w:val="20"/>
        <w:rPr>
          <w:sz w:val="21"/>
          <w:szCs w:val="22"/>
        </w:rPr>
      </w:pPr>
      <w:r>
        <w:fldChar w:fldCharType="begin"/>
      </w:r>
      <w:r>
        <w:instrText xml:space="preserve"> HYPERLINK \l "_Toc470167374" </w:instrText>
      </w:r>
      <w:r>
        <w:fldChar w:fldCharType="separate"/>
      </w:r>
      <w:r>
        <w:rPr>
          <w:rStyle w:val="30"/>
        </w:rPr>
        <w:t>8</w:t>
      </w:r>
      <w:r>
        <w:rPr>
          <w:rStyle w:val="30"/>
          <w:rFonts w:hint="eastAsia"/>
        </w:rPr>
        <w:t>、发展前景</w:t>
      </w:r>
      <w:r>
        <w:tab/>
      </w:r>
      <w:r>
        <w:fldChar w:fldCharType="begin"/>
      </w:r>
      <w:r>
        <w:instrText xml:space="preserve"> PAGEREF _Toc470167374 \h </w:instrText>
      </w:r>
      <w:r>
        <w:fldChar w:fldCharType="separate"/>
      </w:r>
      <w:r>
        <w:t>45</w:t>
      </w:r>
      <w:r>
        <w:fldChar w:fldCharType="end"/>
      </w:r>
      <w:r>
        <w:fldChar w:fldCharType="end"/>
      </w:r>
    </w:p>
    <w:p>
      <w:pPr>
        <w:pStyle w:val="20"/>
        <w:rPr>
          <w:sz w:val="21"/>
          <w:szCs w:val="22"/>
        </w:rPr>
      </w:pPr>
      <w:r>
        <w:fldChar w:fldCharType="begin"/>
      </w:r>
      <w:r>
        <w:instrText xml:space="preserve"> HYPERLINK \l "_Toc470167375" </w:instrText>
      </w:r>
      <w:r>
        <w:fldChar w:fldCharType="separate"/>
      </w:r>
      <w:r>
        <w:rPr>
          <w:rStyle w:val="30"/>
        </w:rPr>
        <w:t>9</w:t>
      </w:r>
      <w:r>
        <w:rPr>
          <w:rStyle w:val="30"/>
          <w:rFonts w:hint="eastAsia"/>
        </w:rPr>
        <w:t>、稳定性</w:t>
      </w:r>
      <w:r>
        <w:tab/>
      </w:r>
      <w:r>
        <w:fldChar w:fldCharType="begin"/>
      </w:r>
      <w:r>
        <w:instrText xml:space="preserve"> PAGEREF _Toc470167375 \h </w:instrText>
      </w:r>
      <w:r>
        <w:fldChar w:fldCharType="separate"/>
      </w:r>
      <w:r>
        <w:t>46</w:t>
      </w:r>
      <w:r>
        <w:fldChar w:fldCharType="end"/>
      </w:r>
      <w:r>
        <w:fldChar w:fldCharType="end"/>
      </w:r>
    </w:p>
    <w:p>
      <w:pPr>
        <w:pStyle w:val="20"/>
        <w:rPr>
          <w:sz w:val="21"/>
          <w:szCs w:val="22"/>
        </w:rPr>
      </w:pPr>
      <w:r>
        <w:fldChar w:fldCharType="begin"/>
      </w:r>
      <w:r>
        <w:instrText xml:space="preserve"> HYPERLINK \l "_Toc470167376" </w:instrText>
      </w:r>
      <w:r>
        <w:fldChar w:fldCharType="separate"/>
      </w:r>
      <w:r>
        <w:rPr>
          <w:rStyle w:val="30"/>
        </w:rPr>
        <w:t>10</w:t>
      </w:r>
      <w:r>
        <w:rPr>
          <w:rStyle w:val="30"/>
          <w:rFonts w:hint="eastAsia"/>
        </w:rPr>
        <w:t>、人职匹配情况</w:t>
      </w:r>
      <w:r>
        <w:tab/>
      </w:r>
      <w:r>
        <w:fldChar w:fldCharType="begin"/>
      </w:r>
      <w:r>
        <w:instrText xml:space="preserve"> PAGEREF _Toc470167376 \h </w:instrText>
      </w:r>
      <w:r>
        <w:fldChar w:fldCharType="separate"/>
      </w:r>
      <w:r>
        <w:t>47</w:t>
      </w:r>
      <w:r>
        <w:fldChar w:fldCharType="end"/>
      </w:r>
      <w:r>
        <w:fldChar w:fldCharType="end"/>
      </w:r>
    </w:p>
    <w:p>
      <w:pPr>
        <w:pStyle w:val="20"/>
        <w:rPr>
          <w:sz w:val="21"/>
          <w:szCs w:val="22"/>
        </w:rPr>
      </w:pPr>
      <w:r>
        <w:fldChar w:fldCharType="begin"/>
      </w:r>
      <w:r>
        <w:instrText xml:space="preserve"> HYPERLINK \l "_Toc470167377" </w:instrText>
      </w:r>
      <w:r>
        <w:fldChar w:fldCharType="separate"/>
      </w:r>
      <w:r>
        <w:rPr>
          <w:rStyle w:val="30"/>
        </w:rPr>
        <w:t>11</w:t>
      </w:r>
      <w:r>
        <w:rPr>
          <w:rStyle w:val="30"/>
          <w:rFonts w:hint="eastAsia"/>
        </w:rPr>
        <w:t>、落实工作与期望相符情况</w:t>
      </w:r>
      <w:r>
        <w:tab/>
      </w:r>
      <w:r>
        <w:fldChar w:fldCharType="begin"/>
      </w:r>
      <w:r>
        <w:instrText xml:space="preserve"> PAGEREF _Toc470167377 \h </w:instrText>
      </w:r>
      <w:r>
        <w:fldChar w:fldCharType="separate"/>
      </w:r>
      <w:r>
        <w:t>49</w:t>
      </w:r>
      <w:r>
        <w:fldChar w:fldCharType="end"/>
      </w:r>
      <w:r>
        <w:fldChar w:fldCharType="end"/>
      </w:r>
    </w:p>
    <w:p>
      <w:pPr>
        <w:pStyle w:val="12"/>
        <w:rPr>
          <w:iCs w:val="0"/>
          <w:sz w:val="21"/>
          <w:szCs w:val="22"/>
        </w:rPr>
      </w:pPr>
      <w:r>
        <w:fldChar w:fldCharType="begin"/>
      </w:r>
      <w:r>
        <w:instrText xml:space="preserve"> HYPERLINK \l "_Toc470167378" </w:instrText>
      </w:r>
      <w:r>
        <w:fldChar w:fldCharType="separate"/>
      </w:r>
      <w:r>
        <w:rPr>
          <w:rStyle w:val="30"/>
          <w:rFonts w:hint="eastAsia"/>
        </w:rPr>
        <w:t>（三）专科生求职过程</w:t>
      </w:r>
      <w:r>
        <w:tab/>
      </w:r>
      <w:r>
        <w:fldChar w:fldCharType="begin"/>
      </w:r>
      <w:r>
        <w:instrText xml:space="preserve"> PAGEREF _Toc470167378 \h </w:instrText>
      </w:r>
      <w:r>
        <w:fldChar w:fldCharType="separate"/>
      </w:r>
      <w:r>
        <w:t>50</w:t>
      </w:r>
      <w:r>
        <w:fldChar w:fldCharType="end"/>
      </w:r>
      <w:r>
        <w:fldChar w:fldCharType="end"/>
      </w:r>
    </w:p>
    <w:p>
      <w:pPr>
        <w:pStyle w:val="20"/>
        <w:rPr>
          <w:sz w:val="21"/>
          <w:szCs w:val="22"/>
        </w:rPr>
      </w:pPr>
      <w:r>
        <w:fldChar w:fldCharType="begin"/>
      </w:r>
      <w:r>
        <w:instrText xml:space="preserve"> HYPERLINK \l "_Toc470167379" </w:instrText>
      </w:r>
      <w:r>
        <w:fldChar w:fldCharType="separate"/>
      </w:r>
      <w:r>
        <w:rPr>
          <w:rStyle w:val="30"/>
        </w:rPr>
        <w:t>1</w:t>
      </w:r>
      <w:r>
        <w:rPr>
          <w:rStyle w:val="30"/>
          <w:rFonts w:hint="eastAsia"/>
        </w:rPr>
        <w:t>、求职积极程度</w:t>
      </w:r>
      <w:r>
        <w:tab/>
      </w:r>
      <w:r>
        <w:fldChar w:fldCharType="begin"/>
      </w:r>
      <w:r>
        <w:instrText xml:space="preserve"> PAGEREF _Toc470167379 \h </w:instrText>
      </w:r>
      <w:r>
        <w:fldChar w:fldCharType="separate"/>
      </w:r>
      <w:r>
        <w:t>50</w:t>
      </w:r>
      <w:r>
        <w:fldChar w:fldCharType="end"/>
      </w:r>
      <w:r>
        <w:fldChar w:fldCharType="end"/>
      </w:r>
    </w:p>
    <w:p>
      <w:pPr>
        <w:pStyle w:val="20"/>
        <w:rPr>
          <w:sz w:val="21"/>
          <w:szCs w:val="22"/>
        </w:rPr>
      </w:pPr>
      <w:r>
        <w:fldChar w:fldCharType="begin"/>
      </w:r>
      <w:r>
        <w:instrText xml:space="preserve"> HYPERLINK \l "_Toc470167380" </w:instrText>
      </w:r>
      <w:r>
        <w:fldChar w:fldCharType="separate"/>
      </w:r>
      <w:r>
        <w:rPr>
          <w:rStyle w:val="30"/>
        </w:rPr>
        <w:t>2</w:t>
      </w:r>
      <w:r>
        <w:rPr>
          <w:rStyle w:val="30"/>
          <w:rFonts w:hint="eastAsia"/>
        </w:rPr>
        <w:t>、简历投递、面试机会及工作机会</w:t>
      </w:r>
      <w:r>
        <w:tab/>
      </w:r>
      <w:r>
        <w:fldChar w:fldCharType="begin"/>
      </w:r>
      <w:r>
        <w:instrText xml:space="preserve"> PAGEREF _Toc470167380 \h </w:instrText>
      </w:r>
      <w:r>
        <w:fldChar w:fldCharType="separate"/>
      </w:r>
      <w:r>
        <w:t>51</w:t>
      </w:r>
      <w:r>
        <w:fldChar w:fldCharType="end"/>
      </w:r>
      <w:r>
        <w:fldChar w:fldCharType="end"/>
      </w:r>
    </w:p>
    <w:p>
      <w:pPr>
        <w:pStyle w:val="20"/>
        <w:rPr>
          <w:sz w:val="21"/>
          <w:szCs w:val="22"/>
        </w:rPr>
      </w:pPr>
      <w:r>
        <w:fldChar w:fldCharType="begin"/>
      </w:r>
      <w:r>
        <w:instrText xml:space="preserve"> HYPERLINK \l "_Toc470167381" </w:instrText>
      </w:r>
      <w:r>
        <w:fldChar w:fldCharType="separate"/>
      </w:r>
      <w:r>
        <w:rPr>
          <w:rStyle w:val="30"/>
        </w:rPr>
        <w:t>3</w:t>
      </w:r>
      <w:r>
        <w:rPr>
          <w:rStyle w:val="30"/>
          <w:rFonts w:hint="eastAsia"/>
        </w:rPr>
        <w:t>、求职周期和收到第一份录用通知的时间</w:t>
      </w:r>
      <w:r>
        <w:tab/>
      </w:r>
      <w:r>
        <w:fldChar w:fldCharType="begin"/>
      </w:r>
      <w:r>
        <w:instrText xml:space="preserve"> PAGEREF _Toc470167381 \h </w:instrText>
      </w:r>
      <w:r>
        <w:fldChar w:fldCharType="separate"/>
      </w:r>
      <w:r>
        <w:t>52</w:t>
      </w:r>
      <w:r>
        <w:fldChar w:fldCharType="end"/>
      </w:r>
      <w:r>
        <w:fldChar w:fldCharType="end"/>
      </w:r>
    </w:p>
    <w:p>
      <w:pPr>
        <w:pStyle w:val="20"/>
        <w:rPr>
          <w:sz w:val="21"/>
          <w:szCs w:val="22"/>
        </w:rPr>
      </w:pPr>
      <w:r>
        <w:fldChar w:fldCharType="begin"/>
      </w:r>
      <w:r>
        <w:instrText xml:space="preserve"> HYPERLINK \l "_Toc470167382" </w:instrText>
      </w:r>
      <w:r>
        <w:fldChar w:fldCharType="separate"/>
      </w:r>
      <w:r>
        <w:rPr>
          <w:rStyle w:val="30"/>
        </w:rPr>
        <w:t>4</w:t>
      </w:r>
      <w:r>
        <w:rPr>
          <w:rStyle w:val="30"/>
          <w:rFonts w:hint="eastAsia"/>
        </w:rPr>
        <w:t>、求职花费</w:t>
      </w:r>
      <w:r>
        <w:tab/>
      </w:r>
      <w:r>
        <w:fldChar w:fldCharType="begin"/>
      </w:r>
      <w:r>
        <w:instrText xml:space="preserve"> PAGEREF _Toc470167382 \h </w:instrText>
      </w:r>
      <w:r>
        <w:fldChar w:fldCharType="separate"/>
      </w:r>
      <w:r>
        <w:t>53</w:t>
      </w:r>
      <w:r>
        <w:fldChar w:fldCharType="end"/>
      </w:r>
      <w:r>
        <w:fldChar w:fldCharType="end"/>
      </w:r>
    </w:p>
    <w:p>
      <w:pPr>
        <w:pStyle w:val="20"/>
        <w:rPr>
          <w:sz w:val="21"/>
          <w:szCs w:val="22"/>
        </w:rPr>
      </w:pPr>
      <w:r>
        <w:fldChar w:fldCharType="begin"/>
      </w:r>
      <w:r>
        <w:instrText xml:space="preserve"> HYPERLINK \l "_Toc470167383" </w:instrText>
      </w:r>
      <w:r>
        <w:fldChar w:fldCharType="separate"/>
      </w:r>
      <w:r>
        <w:rPr>
          <w:rStyle w:val="30"/>
        </w:rPr>
        <w:t>5</w:t>
      </w:r>
      <w:r>
        <w:rPr>
          <w:rStyle w:val="30"/>
          <w:rFonts w:hint="eastAsia"/>
        </w:rPr>
        <w:t>、求职渠道</w:t>
      </w:r>
      <w:r>
        <w:tab/>
      </w:r>
      <w:r>
        <w:fldChar w:fldCharType="begin"/>
      </w:r>
      <w:r>
        <w:instrText xml:space="preserve"> PAGEREF _Toc470167383 \h </w:instrText>
      </w:r>
      <w:r>
        <w:fldChar w:fldCharType="separate"/>
      </w:r>
      <w:r>
        <w:t>53</w:t>
      </w:r>
      <w:r>
        <w:fldChar w:fldCharType="end"/>
      </w:r>
      <w:r>
        <w:fldChar w:fldCharType="end"/>
      </w:r>
    </w:p>
    <w:p>
      <w:pPr>
        <w:pStyle w:val="24"/>
        <w:rPr>
          <w:b w:val="0"/>
          <w:smallCaps w:val="0"/>
          <w:szCs w:val="22"/>
        </w:rPr>
      </w:pPr>
      <w:r>
        <w:fldChar w:fldCharType="begin"/>
      </w:r>
      <w:r>
        <w:instrText xml:space="preserve"> HYPERLINK \l "_Toc470167384" </w:instrText>
      </w:r>
      <w:r>
        <w:fldChar w:fldCharType="separate"/>
      </w:r>
      <w:r>
        <w:rPr>
          <w:rStyle w:val="30"/>
          <w:rFonts w:hint="eastAsia"/>
        </w:rPr>
        <w:t>四、本科生调查数据分析</w:t>
      </w:r>
      <w:r>
        <w:tab/>
      </w:r>
      <w:r>
        <w:fldChar w:fldCharType="begin"/>
      </w:r>
      <w:r>
        <w:instrText xml:space="preserve"> PAGEREF _Toc470167384 \h </w:instrText>
      </w:r>
      <w:r>
        <w:fldChar w:fldCharType="separate"/>
      </w:r>
      <w:r>
        <w:t>54</w:t>
      </w:r>
      <w:r>
        <w:fldChar w:fldCharType="end"/>
      </w:r>
      <w:r>
        <w:fldChar w:fldCharType="end"/>
      </w:r>
    </w:p>
    <w:p>
      <w:pPr>
        <w:pStyle w:val="12"/>
        <w:rPr>
          <w:iCs w:val="0"/>
          <w:sz w:val="21"/>
          <w:szCs w:val="22"/>
        </w:rPr>
      </w:pPr>
      <w:r>
        <w:fldChar w:fldCharType="begin"/>
      </w:r>
      <w:r>
        <w:instrText xml:space="preserve"> HYPERLINK \l "_Toc470167385" </w:instrText>
      </w:r>
      <w:r>
        <w:fldChar w:fldCharType="separate"/>
      </w:r>
      <w:r>
        <w:rPr>
          <w:rStyle w:val="30"/>
          <w:rFonts w:hint="eastAsia"/>
        </w:rPr>
        <w:t>（一）本科生专业培养及就业创业教育反馈</w:t>
      </w:r>
      <w:r>
        <w:tab/>
      </w:r>
      <w:r>
        <w:fldChar w:fldCharType="begin"/>
      </w:r>
      <w:r>
        <w:instrText xml:space="preserve"> PAGEREF _Toc470167385 \h </w:instrText>
      </w:r>
      <w:r>
        <w:fldChar w:fldCharType="separate"/>
      </w:r>
      <w:r>
        <w:t>54</w:t>
      </w:r>
      <w:r>
        <w:fldChar w:fldCharType="end"/>
      </w:r>
      <w:r>
        <w:fldChar w:fldCharType="end"/>
      </w:r>
    </w:p>
    <w:p>
      <w:pPr>
        <w:pStyle w:val="20"/>
        <w:rPr>
          <w:sz w:val="21"/>
          <w:szCs w:val="22"/>
        </w:rPr>
      </w:pPr>
      <w:r>
        <w:fldChar w:fldCharType="begin"/>
      </w:r>
      <w:r>
        <w:instrText xml:space="preserve"> HYPERLINK \l "_Toc470167386" </w:instrText>
      </w:r>
      <w:r>
        <w:fldChar w:fldCharType="separate"/>
      </w:r>
      <w:r>
        <w:rPr>
          <w:rStyle w:val="30"/>
        </w:rPr>
        <w:t>1</w:t>
      </w:r>
      <w:r>
        <w:rPr>
          <w:rStyle w:val="30"/>
          <w:rFonts w:hint="eastAsia"/>
        </w:rPr>
        <w:t>、专业认同情况</w:t>
      </w:r>
      <w:r>
        <w:tab/>
      </w:r>
      <w:r>
        <w:fldChar w:fldCharType="begin"/>
      </w:r>
      <w:r>
        <w:instrText xml:space="preserve"> PAGEREF _Toc470167386 \h </w:instrText>
      </w:r>
      <w:r>
        <w:fldChar w:fldCharType="separate"/>
      </w:r>
      <w:r>
        <w:t>54</w:t>
      </w:r>
      <w:r>
        <w:fldChar w:fldCharType="end"/>
      </w:r>
      <w:r>
        <w:fldChar w:fldCharType="end"/>
      </w:r>
    </w:p>
    <w:p>
      <w:pPr>
        <w:pStyle w:val="20"/>
        <w:rPr>
          <w:sz w:val="21"/>
          <w:szCs w:val="22"/>
        </w:rPr>
      </w:pPr>
      <w:r>
        <w:fldChar w:fldCharType="begin"/>
      </w:r>
      <w:r>
        <w:instrText xml:space="preserve"> HYPERLINK \l "_Toc470167387" </w:instrText>
      </w:r>
      <w:r>
        <w:fldChar w:fldCharType="separate"/>
      </w:r>
      <w:r>
        <w:rPr>
          <w:rStyle w:val="30"/>
        </w:rPr>
        <w:t>2</w:t>
      </w:r>
      <w:r>
        <w:rPr>
          <w:rStyle w:val="30"/>
          <w:rFonts w:hint="eastAsia"/>
        </w:rPr>
        <w:t>、专业培养情况</w:t>
      </w:r>
      <w:r>
        <w:tab/>
      </w:r>
      <w:r>
        <w:fldChar w:fldCharType="begin"/>
      </w:r>
      <w:r>
        <w:instrText xml:space="preserve"> PAGEREF _Toc470167387 \h </w:instrText>
      </w:r>
      <w:r>
        <w:fldChar w:fldCharType="separate"/>
      </w:r>
      <w:r>
        <w:t>62</w:t>
      </w:r>
      <w:r>
        <w:fldChar w:fldCharType="end"/>
      </w:r>
      <w:r>
        <w:fldChar w:fldCharType="end"/>
      </w:r>
    </w:p>
    <w:p>
      <w:pPr>
        <w:pStyle w:val="20"/>
        <w:rPr>
          <w:sz w:val="21"/>
          <w:szCs w:val="22"/>
        </w:rPr>
      </w:pPr>
      <w:r>
        <w:fldChar w:fldCharType="begin"/>
      </w:r>
      <w:r>
        <w:instrText xml:space="preserve"> HYPERLINK \l "_Toc470167388" </w:instrText>
      </w:r>
      <w:r>
        <w:fldChar w:fldCharType="separate"/>
      </w:r>
      <w:r>
        <w:rPr>
          <w:rStyle w:val="30"/>
        </w:rPr>
        <w:t>3</w:t>
      </w:r>
      <w:r>
        <w:rPr>
          <w:rStyle w:val="30"/>
          <w:rFonts w:hint="eastAsia"/>
        </w:rPr>
        <w:t>、对就业教育及服务的评价</w:t>
      </w:r>
      <w:r>
        <w:tab/>
      </w:r>
      <w:r>
        <w:fldChar w:fldCharType="begin"/>
      </w:r>
      <w:r>
        <w:instrText xml:space="preserve"> PAGEREF _Toc470167388 \h </w:instrText>
      </w:r>
      <w:r>
        <w:fldChar w:fldCharType="separate"/>
      </w:r>
      <w:r>
        <w:t>77</w:t>
      </w:r>
      <w:r>
        <w:fldChar w:fldCharType="end"/>
      </w:r>
      <w:r>
        <w:fldChar w:fldCharType="end"/>
      </w:r>
    </w:p>
    <w:p>
      <w:pPr>
        <w:pStyle w:val="20"/>
        <w:rPr>
          <w:sz w:val="21"/>
          <w:szCs w:val="22"/>
        </w:rPr>
      </w:pPr>
      <w:r>
        <w:fldChar w:fldCharType="begin"/>
      </w:r>
      <w:r>
        <w:instrText xml:space="preserve"> HYPERLINK \l "_Toc470167389" </w:instrText>
      </w:r>
      <w:r>
        <w:fldChar w:fldCharType="separate"/>
      </w:r>
      <w:r>
        <w:rPr>
          <w:rStyle w:val="30"/>
        </w:rPr>
        <w:t>4</w:t>
      </w:r>
      <w:r>
        <w:rPr>
          <w:rStyle w:val="30"/>
          <w:rFonts w:hint="eastAsia"/>
        </w:rPr>
        <w:t>、对创业教育及服务的评价</w:t>
      </w:r>
      <w:r>
        <w:tab/>
      </w:r>
      <w:r>
        <w:fldChar w:fldCharType="begin"/>
      </w:r>
      <w:r>
        <w:instrText xml:space="preserve"> PAGEREF _Toc470167389 \h </w:instrText>
      </w:r>
      <w:r>
        <w:fldChar w:fldCharType="separate"/>
      </w:r>
      <w:r>
        <w:t>81</w:t>
      </w:r>
      <w:r>
        <w:fldChar w:fldCharType="end"/>
      </w:r>
      <w:r>
        <w:fldChar w:fldCharType="end"/>
      </w:r>
    </w:p>
    <w:p>
      <w:pPr>
        <w:pStyle w:val="20"/>
        <w:rPr>
          <w:sz w:val="21"/>
          <w:szCs w:val="22"/>
        </w:rPr>
      </w:pPr>
      <w:r>
        <w:fldChar w:fldCharType="begin"/>
      </w:r>
      <w:r>
        <w:instrText xml:space="preserve"> HYPERLINK \l "_Toc470167390" </w:instrText>
      </w:r>
      <w:r>
        <w:fldChar w:fldCharType="separate"/>
      </w:r>
      <w:r>
        <w:rPr>
          <w:rStyle w:val="30"/>
        </w:rPr>
        <w:t>5</w:t>
      </w:r>
      <w:r>
        <w:rPr>
          <w:rStyle w:val="30"/>
          <w:rFonts w:hint="eastAsia"/>
        </w:rPr>
        <w:t>、创业计划情况</w:t>
      </w:r>
      <w:r>
        <w:tab/>
      </w:r>
      <w:r>
        <w:fldChar w:fldCharType="begin"/>
      </w:r>
      <w:r>
        <w:instrText xml:space="preserve"> PAGEREF _Toc470167390 \h </w:instrText>
      </w:r>
      <w:r>
        <w:fldChar w:fldCharType="separate"/>
      </w:r>
      <w:r>
        <w:t>82</w:t>
      </w:r>
      <w:r>
        <w:fldChar w:fldCharType="end"/>
      </w:r>
      <w:r>
        <w:fldChar w:fldCharType="end"/>
      </w:r>
    </w:p>
    <w:p>
      <w:pPr>
        <w:pStyle w:val="20"/>
        <w:rPr>
          <w:sz w:val="21"/>
          <w:szCs w:val="22"/>
        </w:rPr>
      </w:pPr>
      <w:r>
        <w:fldChar w:fldCharType="begin"/>
      </w:r>
      <w:r>
        <w:instrText xml:space="preserve"> HYPERLINK \l "_Toc470167391" </w:instrText>
      </w:r>
      <w:r>
        <w:fldChar w:fldCharType="separate"/>
      </w:r>
      <w:r>
        <w:rPr>
          <w:rStyle w:val="30"/>
        </w:rPr>
        <w:t>6</w:t>
      </w:r>
      <w:r>
        <w:rPr>
          <w:rStyle w:val="30"/>
          <w:rFonts w:hint="eastAsia"/>
        </w:rPr>
        <w:t>、创业教育的收获</w:t>
      </w:r>
      <w:r>
        <w:tab/>
      </w:r>
      <w:r>
        <w:fldChar w:fldCharType="begin"/>
      </w:r>
      <w:r>
        <w:instrText xml:space="preserve"> PAGEREF _Toc470167391 \h </w:instrText>
      </w:r>
      <w:r>
        <w:fldChar w:fldCharType="separate"/>
      </w:r>
      <w:r>
        <w:t>83</w:t>
      </w:r>
      <w:r>
        <w:fldChar w:fldCharType="end"/>
      </w:r>
      <w:r>
        <w:fldChar w:fldCharType="end"/>
      </w:r>
    </w:p>
    <w:p>
      <w:pPr>
        <w:pStyle w:val="12"/>
        <w:rPr>
          <w:iCs w:val="0"/>
          <w:sz w:val="21"/>
          <w:szCs w:val="22"/>
        </w:rPr>
      </w:pPr>
      <w:r>
        <w:fldChar w:fldCharType="begin"/>
      </w:r>
      <w:r>
        <w:instrText xml:space="preserve"> HYPERLINK \l "_Toc470167392" </w:instrText>
      </w:r>
      <w:r>
        <w:fldChar w:fldCharType="separate"/>
      </w:r>
      <w:r>
        <w:rPr>
          <w:rStyle w:val="30"/>
          <w:rFonts w:hint="eastAsia"/>
        </w:rPr>
        <w:t>（二）本科生就业结果</w:t>
      </w:r>
      <w:r>
        <w:tab/>
      </w:r>
      <w:r>
        <w:fldChar w:fldCharType="begin"/>
      </w:r>
      <w:r>
        <w:instrText xml:space="preserve"> PAGEREF _Toc470167392 \h </w:instrText>
      </w:r>
      <w:r>
        <w:fldChar w:fldCharType="separate"/>
      </w:r>
      <w:r>
        <w:t>84</w:t>
      </w:r>
      <w:r>
        <w:fldChar w:fldCharType="end"/>
      </w:r>
      <w:r>
        <w:fldChar w:fldCharType="end"/>
      </w:r>
    </w:p>
    <w:p>
      <w:pPr>
        <w:pStyle w:val="20"/>
        <w:rPr>
          <w:sz w:val="21"/>
          <w:szCs w:val="22"/>
        </w:rPr>
      </w:pPr>
      <w:r>
        <w:fldChar w:fldCharType="begin"/>
      </w:r>
      <w:r>
        <w:instrText xml:space="preserve"> HYPERLINK \l "_Toc470167393" </w:instrText>
      </w:r>
      <w:r>
        <w:fldChar w:fldCharType="separate"/>
      </w:r>
      <w:r>
        <w:rPr>
          <w:rStyle w:val="30"/>
        </w:rPr>
        <w:t>1</w:t>
      </w:r>
      <w:r>
        <w:rPr>
          <w:rStyle w:val="30"/>
          <w:rFonts w:hint="eastAsia"/>
        </w:rPr>
        <w:t>、就业满意度</w:t>
      </w:r>
      <w:r>
        <w:tab/>
      </w:r>
      <w:r>
        <w:fldChar w:fldCharType="begin"/>
      </w:r>
      <w:r>
        <w:instrText xml:space="preserve"> PAGEREF _Toc470167393 \h </w:instrText>
      </w:r>
      <w:r>
        <w:fldChar w:fldCharType="separate"/>
      </w:r>
      <w:r>
        <w:t>84</w:t>
      </w:r>
      <w:r>
        <w:fldChar w:fldCharType="end"/>
      </w:r>
      <w:r>
        <w:fldChar w:fldCharType="end"/>
      </w:r>
    </w:p>
    <w:p>
      <w:pPr>
        <w:pStyle w:val="20"/>
        <w:rPr>
          <w:sz w:val="21"/>
          <w:szCs w:val="22"/>
        </w:rPr>
      </w:pPr>
      <w:r>
        <w:fldChar w:fldCharType="begin"/>
      </w:r>
      <w:r>
        <w:instrText xml:space="preserve"> HYPERLINK \l "_Toc470167394" </w:instrText>
      </w:r>
      <w:r>
        <w:fldChar w:fldCharType="separate"/>
      </w:r>
      <w:r>
        <w:rPr>
          <w:rStyle w:val="30"/>
        </w:rPr>
        <w:t>2</w:t>
      </w:r>
      <w:r>
        <w:rPr>
          <w:rStyle w:val="30"/>
          <w:rFonts w:hint="eastAsia"/>
        </w:rPr>
        <w:t>、就业地区</w:t>
      </w:r>
      <w:r>
        <w:tab/>
      </w:r>
      <w:r>
        <w:fldChar w:fldCharType="begin"/>
      </w:r>
      <w:r>
        <w:instrText xml:space="preserve"> PAGEREF _Toc470167394 \h </w:instrText>
      </w:r>
      <w:r>
        <w:fldChar w:fldCharType="separate"/>
      </w:r>
      <w:r>
        <w:t>86</w:t>
      </w:r>
      <w:r>
        <w:fldChar w:fldCharType="end"/>
      </w:r>
      <w:r>
        <w:fldChar w:fldCharType="end"/>
      </w:r>
    </w:p>
    <w:p>
      <w:pPr>
        <w:pStyle w:val="20"/>
        <w:rPr>
          <w:sz w:val="21"/>
          <w:szCs w:val="22"/>
        </w:rPr>
      </w:pPr>
      <w:r>
        <w:fldChar w:fldCharType="begin"/>
      </w:r>
      <w:r>
        <w:instrText xml:space="preserve"> HYPERLINK \l "_Toc470167395" </w:instrText>
      </w:r>
      <w:r>
        <w:fldChar w:fldCharType="separate"/>
      </w:r>
      <w:r>
        <w:rPr>
          <w:rStyle w:val="30"/>
        </w:rPr>
        <w:t>3</w:t>
      </w:r>
      <w:r>
        <w:rPr>
          <w:rStyle w:val="30"/>
          <w:rFonts w:hint="eastAsia"/>
        </w:rPr>
        <w:t>、就业城市类型</w:t>
      </w:r>
      <w:r>
        <w:tab/>
      </w:r>
      <w:r>
        <w:fldChar w:fldCharType="begin"/>
      </w:r>
      <w:r>
        <w:instrText xml:space="preserve"> PAGEREF _Toc470167395 \h </w:instrText>
      </w:r>
      <w:r>
        <w:fldChar w:fldCharType="separate"/>
      </w:r>
      <w:r>
        <w:t>89</w:t>
      </w:r>
      <w:r>
        <w:fldChar w:fldCharType="end"/>
      </w:r>
      <w:r>
        <w:fldChar w:fldCharType="end"/>
      </w:r>
    </w:p>
    <w:p>
      <w:pPr>
        <w:pStyle w:val="20"/>
        <w:rPr>
          <w:sz w:val="21"/>
          <w:szCs w:val="22"/>
        </w:rPr>
      </w:pPr>
      <w:r>
        <w:fldChar w:fldCharType="begin"/>
      </w:r>
      <w:r>
        <w:instrText xml:space="preserve"> HYPERLINK \l "_Toc470167396" </w:instrText>
      </w:r>
      <w:r>
        <w:fldChar w:fldCharType="separate"/>
      </w:r>
      <w:r>
        <w:rPr>
          <w:rStyle w:val="30"/>
        </w:rPr>
        <w:t>4</w:t>
      </w:r>
      <w:r>
        <w:rPr>
          <w:rStyle w:val="30"/>
          <w:rFonts w:hint="eastAsia"/>
        </w:rPr>
        <w:t>、单位类型</w:t>
      </w:r>
      <w:r>
        <w:tab/>
      </w:r>
      <w:r>
        <w:fldChar w:fldCharType="begin"/>
      </w:r>
      <w:r>
        <w:instrText xml:space="preserve"> PAGEREF _Toc470167396 \h </w:instrText>
      </w:r>
      <w:r>
        <w:fldChar w:fldCharType="separate"/>
      </w:r>
      <w:r>
        <w:t>90</w:t>
      </w:r>
      <w:r>
        <w:fldChar w:fldCharType="end"/>
      </w:r>
      <w:r>
        <w:fldChar w:fldCharType="end"/>
      </w:r>
    </w:p>
    <w:p>
      <w:pPr>
        <w:pStyle w:val="20"/>
        <w:rPr>
          <w:sz w:val="21"/>
          <w:szCs w:val="22"/>
        </w:rPr>
      </w:pPr>
      <w:r>
        <w:fldChar w:fldCharType="begin"/>
      </w:r>
      <w:r>
        <w:instrText xml:space="preserve"> HYPERLINK \l "_Toc470167397" </w:instrText>
      </w:r>
      <w:r>
        <w:fldChar w:fldCharType="separate"/>
      </w:r>
      <w:r>
        <w:rPr>
          <w:rStyle w:val="30"/>
        </w:rPr>
        <w:t>5</w:t>
      </w:r>
      <w:r>
        <w:rPr>
          <w:rStyle w:val="30"/>
          <w:rFonts w:hint="eastAsia"/>
        </w:rPr>
        <w:t>、就业行业</w:t>
      </w:r>
      <w:r>
        <w:tab/>
      </w:r>
      <w:r>
        <w:fldChar w:fldCharType="begin"/>
      </w:r>
      <w:r>
        <w:instrText xml:space="preserve"> PAGEREF _Toc470167397 \h </w:instrText>
      </w:r>
      <w:r>
        <w:fldChar w:fldCharType="separate"/>
      </w:r>
      <w:r>
        <w:t>91</w:t>
      </w:r>
      <w:r>
        <w:fldChar w:fldCharType="end"/>
      </w:r>
      <w:r>
        <w:fldChar w:fldCharType="end"/>
      </w:r>
    </w:p>
    <w:p>
      <w:pPr>
        <w:pStyle w:val="20"/>
        <w:rPr>
          <w:sz w:val="21"/>
          <w:szCs w:val="22"/>
        </w:rPr>
      </w:pPr>
      <w:r>
        <w:fldChar w:fldCharType="begin"/>
      </w:r>
      <w:r>
        <w:instrText xml:space="preserve"> HYPERLINK \l "_Toc470167398" </w:instrText>
      </w:r>
      <w:r>
        <w:fldChar w:fldCharType="separate"/>
      </w:r>
      <w:r>
        <w:rPr>
          <w:rStyle w:val="30"/>
        </w:rPr>
        <w:t>6</w:t>
      </w:r>
      <w:r>
        <w:rPr>
          <w:rStyle w:val="30"/>
          <w:rFonts w:hint="eastAsia"/>
        </w:rPr>
        <w:t>、年薪</w:t>
      </w:r>
      <w:r>
        <w:tab/>
      </w:r>
      <w:r>
        <w:fldChar w:fldCharType="begin"/>
      </w:r>
      <w:r>
        <w:instrText xml:space="preserve"> PAGEREF _Toc470167398 \h </w:instrText>
      </w:r>
      <w:r>
        <w:fldChar w:fldCharType="separate"/>
      </w:r>
      <w:r>
        <w:t>93</w:t>
      </w:r>
      <w:r>
        <w:fldChar w:fldCharType="end"/>
      </w:r>
      <w:r>
        <w:fldChar w:fldCharType="end"/>
      </w:r>
    </w:p>
    <w:p>
      <w:pPr>
        <w:pStyle w:val="20"/>
        <w:rPr>
          <w:sz w:val="21"/>
          <w:szCs w:val="22"/>
        </w:rPr>
      </w:pPr>
      <w:r>
        <w:fldChar w:fldCharType="begin"/>
      </w:r>
      <w:r>
        <w:instrText xml:space="preserve"> HYPERLINK \l "_Toc470167399" </w:instrText>
      </w:r>
      <w:r>
        <w:fldChar w:fldCharType="separate"/>
      </w:r>
      <w:r>
        <w:rPr>
          <w:rStyle w:val="30"/>
        </w:rPr>
        <w:t>7</w:t>
      </w:r>
      <w:r>
        <w:rPr>
          <w:rStyle w:val="30"/>
          <w:rFonts w:hint="eastAsia"/>
        </w:rPr>
        <w:t>、福利保障</w:t>
      </w:r>
      <w:r>
        <w:tab/>
      </w:r>
      <w:r>
        <w:fldChar w:fldCharType="begin"/>
      </w:r>
      <w:r>
        <w:instrText xml:space="preserve"> PAGEREF _Toc470167399 \h </w:instrText>
      </w:r>
      <w:r>
        <w:fldChar w:fldCharType="separate"/>
      </w:r>
      <w:r>
        <w:t>95</w:t>
      </w:r>
      <w:r>
        <w:fldChar w:fldCharType="end"/>
      </w:r>
      <w:r>
        <w:fldChar w:fldCharType="end"/>
      </w:r>
    </w:p>
    <w:p>
      <w:pPr>
        <w:pStyle w:val="20"/>
        <w:rPr>
          <w:sz w:val="21"/>
          <w:szCs w:val="22"/>
        </w:rPr>
      </w:pPr>
      <w:r>
        <w:fldChar w:fldCharType="begin"/>
      </w:r>
      <w:r>
        <w:instrText xml:space="preserve"> HYPERLINK \l "_Toc470167400" </w:instrText>
      </w:r>
      <w:r>
        <w:fldChar w:fldCharType="separate"/>
      </w:r>
      <w:r>
        <w:rPr>
          <w:rStyle w:val="30"/>
        </w:rPr>
        <w:t>8</w:t>
      </w:r>
      <w:r>
        <w:rPr>
          <w:rStyle w:val="30"/>
          <w:rFonts w:hint="eastAsia"/>
        </w:rPr>
        <w:t>、发展前景</w:t>
      </w:r>
      <w:r>
        <w:tab/>
      </w:r>
      <w:r>
        <w:fldChar w:fldCharType="begin"/>
      </w:r>
      <w:r>
        <w:instrText xml:space="preserve"> PAGEREF _Toc470167400 \h </w:instrText>
      </w:r>
      <w:r>
        <w:fldChar w:fldCharType="separate"/>
      </w:r>
      <w:r>
        <w:t>101</w:t>
      </w:r>
      <w:r>
        <w:fldChar w:fldCharType="end"/>
      </w:r>
      <w:r>
        <w:fldChar w:fldCharType="end"/>
      </w:r>
    </w:p>
    <w:p>
      <w:pPr>
        <w:pStyle w:val="20"/>
        <w:rPr>
          <w:sz w:val="21"/>
          <w:szCs w:val="22"/>
        </w:rPr>
      </w:pPr>
      <w:r>
        <w:fldChar w:fldCharType="begin"/>
      </w:r>
      <w:r>
        <w:instrText xml:space="preserve"> HYPERLINK \l "_Toc470167401" </w:instrText>
      </w:r>
      <w:r>
        <w:fldChar w:fldCharType="separate"/>
      </w:r>
      <w:r>
        <w:rPr>
          <w:rStyle w:val="30"/>
        </w:rPr>
        <w:t>9</w:t>
      </w:r>
      <w:r>
        <w:rPr>
          <w:rStyle w:val="30"/>
          <w:rFonts w:hint="eastAsia"/>
        </w:rPr>
        <w:t>、稳定性</w:t>
      </w:r>
      <w:r>
        <w:tab/>
      </w:r>
      <w:r>
        <w:fldChar w:fldCharType="begin"/>
      </w:r>
      <w:r>
        <w:instrText xml:space="preserve"> PAGEREF _Toc470167401 \h </w:instrText>
      </w:r>
      <w:r>
        <w:fldChar w:fldCharType="separate"/>
      </w:r>
      <w:r>
        <w:t>104</w:t>
      </w:r>
      <w:r>
        <w:fldChar w:fldCharType="end"/>
      </w:r>
      <w:r>
        <w:fldChar w:fldCharType="end"/>
      </w:r>
    </w:p>
    <w:p>
      <w:pPr>
        <w:pStyle w:val="20"/>
        <w:rPr>
          <w:sz w:val="21"/>
          <w:szCs w:val="22"/>
        </w:rPr>
      </w:pPr>
      <w:r>
        <w:fldChar w:fldCharType="begin"/>
      </w:r>
      <w:r>
        <w:instrText xml:space="preserve"> HYPERLINK \l "_Toc470167402" </w:instrText>
      </w:r>
      <w:r>
        <w:fldChar w:fldCharType="separate"/>
      </w:r>
      <w:r>
        <w:rPr>
          <w:rStyle w:val="30"/>
        </w:rPr>
        <w:t>10</w:t>
      </w:r>
      <w:r>
        <w:rPr>
          <w:rStyle w:val="30"/>
          <w:rFonts w:hint="eastAsia"/>
        </w:rPr>
        <w:t>、人职匹配情况</w:t>
      </w:r>
      <w:r>
        <w:tab/>
      </w:r>
      <w:r>
        <w:fldChar w:fldCharType="begin"/>
      </w:r>
      <w:r>
        <w:instrText xml:space="preserve"> PAGEREF _Toc470167402 \h </w:instrText>
      </w:r>
      <w:r>
        <w:fldChar w:fldCharType="separate"/>
      </w:r>
      <w:r>
        <w:t>107</w:t>
      </w:r>
      <w:r>
        <w:fldChar w:fldCharType="end"/>
      </w:r>
      <w:r>
        <w:fldChar w:fldCharType="end"/>
      </w:r>
    </w:p>
    <w:p>
      <w:pPr>
        <w:pStyle w:val="20"/>
        <w:rPr>
          <w:sz w:val="21"/>
          <w:szCs w:val="22"/>
        </w:rPr>
      </w:pPr>
      <w:r>
        <w:fldChar w:fldCharType="begin"/>
      </w:r>
      <w:r>
        <w:instrText xml:space="preserve"> HYPERLINK \l "_Toc470167403" </w:instrText>
      </w:r>
      <w:r>
        <w:fldChar w:fldCharType="separate"/>
      </w:r>
      <w:r>
        <w:rPr>
          <w:rStyle w:val="30"/>
        </w:rPr>
        <w:t>11</w:t>
      </w:r>
      <w:r>
        <w:rPr>
          <w:rStyle w:val="30"/>
          <w:rFonts w:hint="eastAsia"/>
        </w:rPr>
        <w:t>、落实工作与期望相符情况</w:t>
      </w:r>
      <w:r>
        <w:tab/>
      </w:r>
      <w:r>
        <w:fldChar w:fldCharType="begin"/>
      </w:r>
      <w:r>
        <w:instrText xml:space="preserve"> PAGEREF _Toc470167403 \h </w:instrText>
      </w:r>
      <w:r>
        <w:fldChar w:fldCharType="separate"/>
      </w:r>
      <w:r>
        <w:t>111</w:t>
      </w:r>
      <w:r>
        <w:fldChar w:fldCharType="end"/>
      </w:r>
      <w:r>
        <w:fldChar w:fldCharType="end"/>
      </w:r>
    </w:p>
    <w:p>
      <w:pPr>
        <w:pStyle w:val="12"/>
        <w:rPr>
          <w:iCs w:val="0"/>
          <w:sz w:val="21"/>
          <w:szCs w:val="22"/>
        </w:rPr>
      </w:pPr>
      <w:r>
        <w:fldChar w:fldCharType="begin"/>
      </w:r>
      <w:r>
        <w:instrText xml:space="preserve"> HYPERLINK \l "_Toc470167404" </w:instrText>
      </w:r>
      <w:r>
        <w:fldChar w:fldCharType="separate"/>
      </w:r>
      <w:r>
        <w:rPr>
          <w:rStyle w:val="30"/>
          <w:rFonts w:hint="eastAsia"/>
        </w:rPr>
        <w:t>（三）本科生求职过程</w:t>
      </w:r>
      <w:r>
        <w:tab/>
      </w:r>
      <w:r>
        <w:fldChar w:fldCharType="begin"/>
      </w:r>
      <w:r>
        <w:instrText xml:space="preserve"> PAGEREF _Toc470167404 \h </w:instrText>
      </w:r>
      <w:r>
        <w:fldChar w:fldCharType="separate"/>
      </w:r>
      <w:r>
        <w:t>113</w:t>
      </w:r>
      <w:r>
        <w:fldChar w:fldCharType="end"/>
      </w:r>
      <w:r>
        <w:fldChar w:fldCharType="end"/>
      </w:r>
    </w:p>
    <w:p>
      <w:pPr>
        <w:pStyle w:val="20"/>
        <w:rPr>
          <w:sz w:val="21"/>
          <w:szCs w:val="22"/>
        </w:rPr>
      </w:pPr>
      <w:r>
        <w:fldChar w:fldCharType="begin"/>
      </w:r>
      <w:r>
        <w:instrText xml:space="preserve"> HYPERLINK \l "_Toc470167405" </w:instrText>
      </w:r>
      <w:r>
        <w:fldChar w:fldCharType="separate"/>
      </w:r>
      <w:r>
        <w:rPr>
          <w:rStyle w:val="30"/>
        </w:rPr>
        <w:t>1</w:t>
      </w:r>
      <w:r>
        <w:rPr>
          <w:rStyle w:val="30"/>
          <w:rFonts w:hint="eastAsia"/>
        </w:rPr>
        <w:t>、求职积极程度</w:t>
      </w:r>
      <w:r>
        <w:tab/>
      </w:r>
      <w:r>
        <w:fldChar w:fldCharType="begin"/>
      </w:r>
      <w:r>
        <w:instrText xml:space="preserve"> PAGEREF _Toc470167405 \h </w:instrText>
      </w:r>
      <w:r>
        <w:fldChar w:fldCharType="separate"/>
      </w:r>
      <w:r>
        <w:t>113</w:t>
      </w:r>
      <w:r>
        <w:fldChar w:fldCharType="end"/>
      </w:r>
      <w:r>
        <w:fldChar w:fldCharType="end"/>
      </w:r>
    </w:p>
    <w:p>
      <w:pPr>
        <w:pStyle w:val="20"/>
        <w:rPr>
          <w:sz w:val="21"/>
          <w:szCs w:val="22"/>
        </w:rPr>
      </w:pPr>
      <w:r>
        <w:fldChar w:fldCharType="begin"/>
      </w:r>
      <w:r>
        <w:instrText xml:space="preserve"> HYPERLINK \l "_Toc470167406" </w:instrText>
      </w:r>
      <w:r>
        <w:fldChar w:fldCharType="separate"/>
      </w:r>
      <w:r>
        <w:rPr>
          <w:rStyle w:val="30"/>
        </w:rPr>
        <w:t>2</w:t>
      </w:r>
      <w:r>
        <w:rPr>
          <w:rStyle w:val="30"/>
          <w:rFonts w:hint="eastAsia"/>
        </w:rPr>
        <w:t>、简历投递、面试机会及工作机会</w:t>
      </w:r>
      <w:r>
        <w:tab/>
      </w:r>
      <w:r>
        <w:fldChar w:fldCharType="begin"/>
      </w:r>
      <w:r>
        <w:instrText xml:space="preserve"> PAGEREF _Toc470167406 \h </w:instrText>
      </w:r>
      <w:r>
        <w:fldChar w:fldCharType="separate"/>
      </w:r>
      <w:r>
        <w:t>114</w:t>
      </w:r>
      <w:r>
        <w:fldChar w:fldCharType="end"/>
      </w:r>
      <w:r>
        <w:fldChar w:fldCharType="end"/>
      </w:r>
    </w:p>
    <w:p>
      <w:pPr>
        <w:pStyle w:val="20"/>
        <w:rPr>
          <w:sz w:val="21"/>
          <w:szCs w:val="22"/>
        </w:rPr>
      </w:pPr>
      <w:r>
        <w:fldChar w:fldCharType="begin"/>
      </w:r>
      <w:r>
        <w:instrText xml:space="preserve"> HYPERLINK \l "_Toc470167407" </w:instrText>
      </w:r>
      <w:r>
        <w:fldChar w:fldCharType="separate"/>
      </w:r>
      <w:r>
        <w:rPr>
          <w:rStyle w:val="30"/>
        </w:rPr>
        <w:t>3</w:t>
      </w:r>
      <w:r>
        <w:rPr>
          <w:rStyle w:val="30"/>
          <w:rFonts w:hint="eastAsia"/>
        </w:rPr>
        <w:t>、求职周期和收到第一份录用通知的时间</w:t>
      </w:r>
      <w:r>
        <w:tab/>
      </w:r>
      <w:r>
        <w:fldChar w:fldCharType="begin"/>
      </w:r>
      <w:r>
        <w:instrText xml:space="preserve"> PAGEREF _Toc470167407 \h </w:instrText>
      </w:r>
      <w:r>
        <w:fldChar w:fldCharType="separate"/>
      </w:r>
      <w:r>
        <w:t>116</w:t>
      </w:r>
      <w:r>
        <w:fldChar w:fldCharType="end"/>
      </w:r>
      <w:r>
        <w:fldChar w:fldCharType="end"/>
      </w:r>
    </w:p>
    <w:p>
      <w:pPr>
        <w:pStyle w:val="20"/>
        <w:rPr>
          <w:sz w:val="21"/>
          <w:szCs w:val="22"/>
        </w:rPr>
      </w:pPr>
      <w:r>
        <w:fldChar w:fldCharType="begin"/>
      </w:r>
      <w:r>
        <w:instrText xml:space="preserve"> HYPERLINK \l "_Toc470167408" </w:instrText>
      </w:r>
      <w:r>
        <w:fldChar w:fldCharType="separate"/>
      </w:r>
      <w:r>
        <w:rPr>
          <w:rStyle w:val="30"/>
        </w:rPr>
        <w:t>4</w:t>
      </w:r>
      <w:r>
        <w:rPr>
          <w:rStyle w:val="30"/>
          <w:rFonts w:hint="eastAsia"/>
        </w:rPr>
        <w:t>、求职花费</w:t>
      </w:r>
      <w:r>
        <w:tab/>
      </w:r>
      <w:r>
        <w:fldChar w:fldCharType="begin"/>
      </w:r>
      <w:r>
        <w:instrText xml:space="preserve"> PAGEREF _Toc470167408 \h </w:instrText>
      </w:r>
      <w:r>
        <w:fldChar w:fldCharType="separate"/>
      </w:r>
      <w:r>
        <w:t>120</w:t>
      </w:r>
      <w:r>
        <w:fldChar w:fldCharType="end"/>
      </w:r>
      <w:r>
        <w:fldChar w:fldCharType="end"/>
      </w:r>
    </w:p>
    <w:p>
      <w:pPr>
        <w:pStyle w:val="20"/>
        <w:rPr>
          <w:sz w:val="21"/>
          <w:szCs w:val="22"/>
        </w:rPr>
      </w:pPr>
      <w:r>
        <w:fldChar w:fldCharType="begin"/>
      </w:r>
      <w:r>
        <w:instrText xml:space="preserve"> HYPERLINK \l "_Toc470167409" </w:instrText>
      </w:r>
      <w:r>
        <w:fldChar w:fldCharType="separate"/>
      </w:r>
      <w:r>
        <w:rPr>
          <w:rStyle w:val="30"/>
        </w:rPr>
        <w:t>5</w:t>
      </w:r>
      <w:r>
        <w:rPr>
          <w:rStyle w:val="30"/>
          <w:rFonts w:hint="eastAsia"/>
        </w:rPr>
        <w:t>、求职渠道</w:t>
      </w:r>
      <w:r>
        <w:tab/>
      </w:r>
      <w:r>
        <w:fldChar w:fldCharType="begin"/>
      </w:r>
      <w:r>
        <w:instrText xml:space="preserve"> PAGEREF _Toc470167409 \h </w:instrText>
      </w:r>
      <w:r>
        <w:fldChar w:fldCharType="separate"/>
      </w:r>
      <w:r>
        <w:t>122</w:t>
      </w:r>
      <w:r>
        <w:fldChar w:fldCharType="end"/>
      </w:r>
      <w:r>
        <w:fldChar w:fldCharType="end"/>
      </w:r>
    </w:p>
    <w:p>
      <w:pPr>
        <w:pStyle w:val="24"/>
        <w:rPr>
          <w:b w:val="0"/>
          <w:smallCaps w:val="0"/>
          <w:szCs w:val="22"/>
        </w:rPr>
      </w:pPr>
      <w:r>
        <w:fldChar w:fldCharType="begin"/>
      </w:r>
      <w:r>
        <w:instrText xml:space="preserve"> HYPERLINK \l "_Toc470167410" </w:instrText>
      </w:r>
      <w:r>
        <w:fldChar w:fldCharType="separate"/>
      </w:r>
      <w:r>
        <w:rPr>
          <w:rStyle w:val="30"/>
          <w:rFonts w:hint="eastAsia"/>
        </w:rPr>
        <w:t>五、研究生调查数据分析</w:t>
      </w:r>
      <w:r>
        <w:tab/>
      </w:r>
      <w:r>
        <w:rPr>
          <w:b w:val="0"/>
          <w:bCs/>
        </w:rPr>
        <w:fldChar w:fldCharType="begin"/>
      </w:r>
      <w:r>
        <w:rPr>
          <w:b w:val="0"/>
          <w:bCs/>
        </w:rPr>
        <w:instrText xml:space="preserve"> PAGEREF _Toc470167410 \h </w:instrText>
      </w:r>
      <w:r>
        <w:rPr>
          <w:b w:val="0"/>
          <w:bCs/>
        </w:rPr>
        <w:fldChar w:fldCharType="separate"/>
      </w:r>
      <w:r>
        <w:rPr>
          <w:b w:val="0"/>
          <w:bCs/>
        </w:rPr>
        <w:t>123</w:t>
      </w:r>
      <w:r>
        <w:rPr>
          <w:b w:val="0"/>
          <w:bCs/>
        </w:rPr>
        <w:fldChar w:fldCharType="end"/>
      </w:r>
      <w:r>
        <w:fldChar w:fldCharType="end"/>
      </w:r>
    </w:p>
    <w:p>
      <w:pPr>
        <w:pStyle w:val="12"/>
        <w:rPr>
          <w:iCs w:val="0"/>
          <w:sz w:val="21"/>
          <w:szCs w:val="22"/>
        </w:rPr>
      </w:pPr>
      <w:r>
        <w:fldChar w:fldCharType="begin"/>
      </w:r>
      <w:r>
        <w:instrText xml:space="preserve"> HYPERLINK \l "_Toc470167411" </w:instrText>
      </w:r>
      <w:r>
        <w:fldChar w:fldCharType="separate"/>
      </w:r>
      <w:r>
        <w:rPr>
          <w:rStyle w:val="30"/>
          <w:rFonts w:hint="eastAsia"/>
        </w:rPr>
        <w:t>（一）研究生专业培养及就业创业教育反馈</w:t>
      </w:r>
      <w:r>
        <w:tab/>
      </w:r>
      <w:r>
        <w:fldChar w:fldCharType="begin"/>
      </w:r>
      <w:r>
        <w:instrText xml:space="preserve"> PAGEREF _Toc470167411 \h </w:instrText>
      </w:r>
      <w:r>
        <w:fldChar w:fldCharType="separate"/>
      </w:r>
      <w:r>
        <w:t>123</w:t>
      </w:r>
      <w:r>
        <w:fldChar w:fldCharType="end"/>
      </w:r>
      <w:r>
        <w:fldChar w:fldCharType="end"/>
      </w:r>
    </w:p>
    <w:p>
      <w:pPr>
        <w:pStyle w:val="20"/>
        <w:rPr>
          <w:sz w:val="21"/>
          <w:szCs w:val="22"/>
        </w:rPr>
      </w:pPr>
      <w:r>
        <w:fldChar w:fldCharType="begin"/>
      </w:r>
      <w:r>
        <w:instrText xml:space="preserve"> HYPERLINK \l "_Toc470167412" </w:instrText>
      </w:r>
      <w:r>
        <w:fldChar w:fldCharType="separate"/>
      </w:r>
      <w:r>
        <w:rPr>
          <w:rStyle w:val="30"/>
        </w:rPr>
        <w:t>1</w:t>
      </w:r>
      <w:r>
        <w:rPr>
          <w:rStyle w:val="30"/>
          <w:rFonts w:hint="eastAsia"/>
        </w:rPr>
        <w:t>、专业认同情况</w:t>
      </w:r>
      <w:r>
        <w:tab/>
      </w:r>
      <w:r>
        <w:fldChar w:fldCharType="begin"/>
      </w:r>
      <w:r>
        <w:instrText xml:space="preserve"> PAGEREF _Toc470167412 \h </w:instrText>
      </w:r>
      <w:r>
        <w:fldChar w:fldCharType="separate"/>
      </w:r>
      <w:r>
        <w:t>123</w:t>
      </w:r>
      <w:r>
        <w:fldChar w:fldCharType="end"/>
      </w:r>
      <w:r>
        <w:fldChar w:fldCharType="end"/>
      </w:r>
    </w:p>
    <w:p>
      <w:pPr>
        <w:pStyle w:val="20"/>
        <w:rPr>
          <w:sz w:val="21"/>
          <w:szCs w:val="22"/>
        </w:rPr>
      </w:pPr>
      <w:r>
        <w:fldChar w:fldCharType="begin"/>
      </w:r>
      <w:r>
        <w:instrText xml:space="preserve"> HYPERLINK \l "_Toc470167413" </w:instrText>
      </w:r>
      <w:r>
        <w:fldChar w:fldCharType="separate"/>
      </w:r>
      <w:r>
        <w:rPr>
          <w:rStyle w:val="30"/>
        </w:rPr>
        <w:t>2</w:t>
      </w:r>
      <w:r>
        <w:rPr>
          <w:rStyle w:val="30"/>
          <w:rFonts w:hint="eastAsia"/>
        </w:rPr>
        <w:t>、专业培养情况</w:t>
      </w:r>
      <w:r>
        <w:tab/>
      </w:r>
      <w:r>
        <w:fldChar w:fldCharType="begin"/>
      </w:r>
      <w:r>
        <w:instrText xml:space="preserve"> PAGEREF _Toc470167413 \h </w:instrText>
      </w:r>
      <w:r>
        <w:fldChar w:fldCharType="separate"/>
      </w:r>
      <w:r>
        <w:t>127</w:t>
      </w:r>
      <w:r>
        <w:fldChar w:fldCharType="end"/>
      </w:r>
      <w:r>
        <w:fldChar w:fldCharType="end"/>
      </w:r>
    </w:p>
    <w:p>
      <w:pPr>
        <w:pStyle w:val="20"/>
        <w:rPr>
          <w:sz w:val="21"/>
          <w:szCs w:val="22"/>
        </w:rPr>
      </w:pPr>
      <w:r>
        <w:fldChar w:fldCharType="begin"/>
      </w:r>
      <w:r>
        <w:instrText xml:space="preserve"> HYPERLINK \l "_Toc470167414" </w:instrText>
      </w:r>
      <w:r>
        <w:fldChar w:fldCharType="separate"/>
      </w:r>
      <w:r>
        <w:rPr>
          <w:rStyle w:val="30"/>
        </w:rPr>
        <w:t>3</w:t>
      </w:r>
      <w:r>
        <w:rPr>
          <w:rStyle w:val="30"/>
          <w:rFonts w:hint="eastAsia"/>
        </w:rPr>
        <w:t>、研究生培养质量评价</w:t>
      </w:r>
      <w:r>
        <w:tab/>
      </w:r>
      <w:r>
        <w:fldChar w:fldCharType="begin"/>
      </w:r>
      <w:r>
        <w:instrText xml:space="preserve"> PAGEREF _Toc470167414 \h </w:instrText>
      </w:r>
      <w:r>
        <w:fldChar w:fldCharType="separate"/>
      </w:r>
      <w:r>
        <w:t>135</w:t>
      </w:r>
      <w:r>
        <w:fldChar w:fldCharType="end"/>
      </w:r>
      <w:r>
        <w:fldChar w:fldCharType="end"/>
      </w:r>
    </w:p>
    <w:p>
      <w:pPr>
        <w:pStyle w:val="20"/>
        <w:rPr>
          <w:sz w:val="21"/>
          <w:szCs w:val="22"/>
        </w:rPr>
      </w:pPr>
      <w:r>
        <w:fldChar w:fldCharType="begin"/>
      </w:r>
      <w:r>
        <w:instrText xml:space="preserve"> HYPERLINK \l "_Toc470167415" </w:instrText>
      </w:r>
      <w:r>
        <w:fldChar w:fldCharType="separate"/>
      </w:r>
      <w:r>
        <w:rPr>
          <w:rStyle w:val="30"/>
        </w:rPr>
        <w:t>4</w:t>
      </w:r>
      <w:r>
        <w:rPr>
          <w:rStyle w:val="30"/>
          <w:rFonts w:hint="eastAsia"/>
        </w:rPr>
        <w:t>、对就业教育及服务的评价</w:t>
      </w:r>
      <w:r>
        <w:tab/>
      </w:r>
      <w:r>
        <w:fldChar w:fldCharType="begin"/>
      </w:r>
      <w:r>
        <w:instrText xml:space="preserve"> PAGEREF _Toc470167415 \h </w:instrText>
      </w:r>
      <w:r>
        <w:fldChar w:fldCharType="separate"/>
      </w:r>
      <w:r>
        <w:t>140</w:t>
      </w:r>
      <w:r>
        <w:fldChar w:fldCharType="end"/>
      </w:r>
      <w:r>
        <w:fldChar w:fldCharType="end"/>
      </w:r>
    </w:p>
    <w:p>
      <w:pPr>
        <w:pStyle w:val="20"/>
        <w:rPr>
          <w:sz w:val="21"/>
          <w:szCs w:val="22"/>
        </w:rPr>
      </w:pPr>
      <w:r>
        <w:fldChar w:fldCharType="begin"/>
      </w:r>
      <w:r>
        <w:instrText xml:space="preserve"> HYPERLINK \l "_Toc470167416" </w:instrText>
      </w:r>
      <w:r>
        <w:fldChar w:fldCharType="separate"/>
      </w:r>
      <w:r>
        <w:rPr>
          <w:rStyle w:val="30"/>
        </w:rPr>
        <w:t>5</w:t>
      </w:r>
      <w:r>
        <w:rPr>
          <w:rStyle w:val="30"/>
          <w:rFonts w:hint="eastAsia"/>
        </w:rPr>
        <w:t>、对创业教育及服务的评价</w:t>
      </w:r>
      <w:r>
        <w:tab/>
      </w:r>
      <w:r>
        <w:fldChar w:fldCharType="begin"/>
      </w:r>
      <w:r>
        <w:instrText xml:space="preserve"> PAGEREF _Toc470167416 \h </w:instrText>
      </w:r>
      <w:r>
        <w:fldChar w:fldCharType="separate"/>
      </w:r>
      <w:r>
        <w:t>144</w:t>
      </w:r>
      <w:r>
        <w:fldChar w:fldCharType="end"/>
      </w:r>
      <w:r>
        <w:fldChar w:fldCharType="end"/>
      </w:r>
    </w:p>
    <w:p>
      <w:pPr>
        <w:pStyle w:val="20"/>
        <w:rPr>
          <w:sz w:val="21"/>
          <w:szCs w:val="22"/>
        </w:rPr>
      </w:pPr>
      <w:r>
        <w:fldChar w:fldCharType="begin"/>
      </w:r>
      <w:r>
        <w:instrText xml:space="preserve"> HYPERLINK \l "_Toc470167417" </w:instrText>
      </w:r>
      <w:r>
        <w:fldChar w:fldCharType="separate"/>
      </w:r>
      <w:r>
        <w:rPr>
          <w:rStyle w:val="30"/>
        </w:rPr>
        <w:t>6</w:t>
      </w:r>
      <w:r>
        <w:rPr>
          <w:rStyle w:val="30"/>
          <w:rFonts w:hint="eastAsia"/>
        </w:rPr>
        <w:t>、创业计划情况</w:t>
      </w:r>
      <w:r>
        <w:tab/>
      </w:r>
      <w:r>
        <w:fldChar w:fldCharType="begin"/>
      </w:r>
      <w:r>
        <w:instrText xml:space="preserve"> PAGEREF _Toc470167417 \h </w:instrText>
      </w:r>
      <w:r>
        <w:fldChar w:fldCharType="separate"/>
      </w:r>
      <w:r>
        <w:t>145</w:t>
      </w:r>
      <w:r>
        <w:fldChar w:fldCharType="end"/>
      </w:r>
      <w:r>
        <w:fldChar w:fldCharType="end"/>
      </w:r>
    </w:p>
    <w:p>
      <w:pPr>
        <w:pStyle w:val="20"/>
        <w:rPr>
          <w:sz w:val="21"/>
          <w:szCs w:val="22"/>
        </w:rPr>
      </w:pPr>
      <w:r>
        <w:fldChar w:fldCharType="begin"/>
      </w:r>
      <w:r>
        <w:instrText xml:space="preserve"> HYPERLINK \l "_Toc470167418" </w:instrText>
      </w:r>
      <w:r>
        <w:fldChar w:fldCharType="separate"/>
      </w:r>
      <w:r>
        <w:rPr>
          <w:rStyle w:val="30"/>
        </w:rPr>
        <w:t>7</w:t>
      </w:r>
      <w:r>
        <w:rPr>
          <w:rStyle w:val="30"/>
          <w:rFonts w:hint="eastAsia"/>
        </w:rPr>
        <w:t>、创业教育的收获</w:t>
      </w:r>
      <w:r>
        <w:tab/>
      </w:r>
      <w:r>
        <w:fldChar w:fldCharType="begin"/>
      </w:r>
      <w:r>
        <w:instrText xml:space="preserve"> PAGEREF _Toc470167418 \h </w:instrText>
      </w:r>
      <w:r>
        <w:fldChar w:fldCharType="separate"/>
      </w:r>
      <w:r>
        <w:t>146</w:t>
      </w:r>
      <w:r>
        <w:fldChar w:fldCharType="end"/>
      </w:r>
      <w:r>
        <w:fldChar w:fldCharType="end"/>
      </w:r>
    </w:p>
    <w:p>
      <w:pPr>
        <w:pStyle w:val="12"/>
        <w:rPr>
          <w:iCs w:val="0"/>
          <w:sz w:val="21"/>
          <w:szCs w:val="22"/>
        </w:rPr>
      </w:pPr>
      <w:r>
        <w:fldChar w:fldCharType="begin"/>
      </w:r>
      <w:r>
        <w:instrText xml:space="preserve"> HYPERLINK \l "_Toc470167419" </w:instrText>
      </w:r>
      <w:r>
        <w:fldChar w:fldCharType="separate"/>
      </w:r>
      <w:r>
        <w:rPr>
          <w:rStyle w:val="30"/>
          <w:rFonts w:hint="eastAsia"/>
        </w:rPr>
        <w:t>（二）研究生就业结果</w:t>
      </w:r>
      <w:r>
        <w:tab/>
      </w:r>
      <w:r>
        <w:fldChar w:fldCharType="begin"/>
      </w:r>
      <w:r>
        <w:instrText xml:space="preserve"> PAGEREF _Toc470167419 \h </w:instrText>
      </w:r>
      <w:r>
        <w:fldChar w:fldCharType="separate"/>
      </w:r>
      <w:r>
        <w:t>147</w:t>
      </w:r>
      <w:r>
        <w:fldChar w:fldCharType="end"/>
      </w:r>
      <w:r>
        <w:fldChar w:fldCharType="end"/>
      </w:r>
    </w:p>
    <w:p>
      <w:pPr>
        <w:pStyle w:val="20"/>
        <w:rPr>
          <w:sz w:val="21"/>
          <w:szCs w:val="22"/>
        </w:rPr>
      </w:pPr>
      <w:r>
        <w:fldChar w:fldCharType="begin"/>
      </w:r>
      <w:r>
        <w:instrText xml:space="preserve"> HYPERLINK \l "_Toc470167420" </w:instrText>
      </w:r>
      <w:r>
        <w:fldChar w:fldCharType="separate"/>
      </w:r>
      <w:r>
        <w:rPr>
          <w:rStyle w:val="30"/>
        </w:rPr>
        <w:t>1</w:t>
      </w:r>
      <w:r>
        <w:rPr>
          <w:rStyle w:val="30"/>
          <w:rFonts w:hint="eastAsia"/>
        </w:rPr>
        <w:t>、就业满意度</w:t>
      </w:r>
      <w:r>
        <w:tab/>
      </w:r>
      <w:r>
        <w:fldChar w:fldCharType="begin"/>
      </w:r>
      <w:r>
        <w:instrText xml:space="preserve"> PAGEREF _Toc470167420 \h </w:instrText>
      </w:r>
      <w:r>
        <w:fldChar w:fldCharType="separate"/>
      </w:r>
      <w:r>
        <w:t>147</w:t>
      </w:r>
      <w:r>
        <w:fldChar w:fldCharType="end"/>
      </w:r>
      <w:r>
        <w:fldChar w:fldCharType="end"/>
      </w:r>
    </w:p>
    <w:p>
      <w:pPr>
        <w:pStyle w:val="20"/>
        <w:rPr>
          <w:sz w:val="21"/>
          <w:szCs w:val="22"/>
        </w:rPr>
      </w:pPr>
      <w:r>
        <w:fldChar w:fldCharType="begin"/>
      </w:r>
      <w:r>
        <w:instrText xml:space="preserve"> HYPERLINK \l "_Toc470167421" </w:instrText>
      </w:r>
      <w:r>
        <w:fldChar w:fldCharType="separate"/>
      </w:r>
      <w:r>
        <w:rPr>
          <w:rStyle w:val="30"/>
        </w:rPr>
        <w:t>2</w:t>
      </w:r>
      <w:r>
        <w:rPr>
          <w:rStyle w:val="30"/>
          <w:rFonts w:hint="eastAsia"/>
        </w:rPr>
        <w:t>、就业地区</w:t>
      </w:r>
      <w:r>
        <w:tab/>
      </w:r>
      <w:r>
        <w:fldChar w:fldCharType="begin"/>
      </w:r>
      <w:r>
        <w:instrText xml:space="preserve"> PAGEREF _Toc470167421 \h </w:instrText>
      </w:r>
      <w:r>
        <w:fldChar w:fldCharType="separate"/>
      </w:r>
      <w:r>
        <w:t>149</w:t>
      </w:r>
      <w:r>
        <w:fldChar w:fldCharType="end"/>
      </w:r>
      <w:r>
        <w:fldChar w:fldCharType="end"/>
      </w:r>
    </w:p>
    <w:p>
      <w:pPr>
        <w:pStyle w:val="20"/>
        <w:rPr>
          <w:sz w:val="21"/>
          <w:szCs w:val="22"/>
        </w:rPr>
      </w:pPr>
      <w:r>
        <w:fldChar w:fldCharType="begin"/>
      </w:r>
      <w:r>
        <w:instrText xml:space="preserve"> HYPERLINK \l "_Toc470167422" </w:instrText>
      </w:r>
      <w:r>
        <w:fldChar w:fldCharType="separate"/>
      </w:r>
      <w:r>
        <w:rPr>
          <w:rStyle w:val="30"/>
        </w:rPr>
        <w:t>3</w:t>
      </w:r>
      <w:r>
        <w:rPr>
          <w:rStyle w:val="30"/>
          <w:rFonts w:hint="eastAsia"/>
        </w:rPr>
        <w:t>、就业城市类型</w:t>
      </w:r>
      <w:r>
        <w:tab/>
      </w:r>
      <w:r>
        <w:fldChar w:fldCharType="begin"/>
      </w:r>
      <w:r>
        <w:instrText xml:space="preserve"> PAGEREF _Toc470167422 \h </w:instrText>
      </w:r>
      <w:r>
        <w:fldChar w:fldCharType="separate"/>
      </w:r>
      <w:r>
        <w:t>151</w:t>
      </w:r>
      <w:r>
        <w:fldChar w:fldCharType="end"/>
      </w:r>
      <w:r>
        <w:fldChar w:fldCharType="end"/>
      </w:r>
    </w:p>
    <w:p>
      <w:pPr>
        <w:pStyle w:val="20"/>
        <w:rPr>
          <w:sz w:val="21"/>
          <w:szCs w:val="22"/>
        </w:rPr>
      </w:pPr>
      <w:r>
        <w:fldChar w:fldCharType="begin"/>
      </w:r>
      <w:r>
        <w:instrText xml:space="preserve"> HYPERLINK \l "_Toc470167423" </w:instrText>
      </w:r>
      <w:r>
        <w:fldChar w:fldCharType="separate"/>
      </w:r>
      <w:r>
        <w:rPr>
          <w:rStyle w:val="30"/>
        </w:rPr>
        <w:t>4</w:t>
      </w:r>
      <w:r>
        <w:rPr>
          <w:rStyle w:val="30"/>
          <w:rFonts w:hint="eastAsia"/>
        </w:rPr>
        <w:t>、单位类型</w:t>
      </w:r>
      <w:r>
        <w:tab/>
      </w:r>
      <w:r>
        <w:fldChar w:fldCharType="begin"/>
      </w:r>
      <w:r>
        <w:instrText xml:space="preserve"> PAGEREF _Toc470167423 \h </w:instrText>
      </w:r>
      <w:r>
        <w:fldChar w:fldCharType="separate"/>
      </w:r>
      <w:r>
        <w:t>151</w:t>
      </w:r>
      <w:r>
        <w:fldChar w:fldCharType="end"/>
      </w:r>
      <w:r>
        <w:fldChar w:fldCharType="end"/>
      </w:r>
    </w:p>
    <w:p>
      <w:pPr>
        <w:pStyle w:val="20"/>
        <w:rPr>
          <w:sz w:val="21"/>
          <w:szCs w:val="22"/>
        </w:rPr>
      </w:pPr>
      <w:r>
        <w:fldChar w:fldCharType="begin"/>
      </w:r>
      <w:r>
        <w:instrText xml:space="preserve"> HYPERLINK \l "_Toc470167424" </w:instrText>
      </w:r>
      <w:r>
        <w:fldChar w:fldCharType="separate"/>
      </w:r>
      <w:r>
        <w:rPr>
          <w:rStyle w:val="30"/>
        </w:rPr>
        <w:t>5</w:t>
      </w:r>
      <w:r>
        <w:rPr>
          <w:rStyle w:val="30"/>
          <w:rFonts w:hint="eastAsia"/>
        </w:rPr>
        <w:t>、就业行业</w:t>
      </w:r>
      <w:r>
        <w:tab/>
      </w:r>
      <w:r>
        <w:fldChar w:fldCharType="begin"/>
      </w:r>
      <w:r>
        <w:instrText xml:space="preserve"> PAGEREF _Toc470167424 \h </w:instrText>
      </w:r>
      <w:r>
        <w:fldChar w:fldCharType="separate"/>
      </w:r>
      <w:r>
        <w:t>152</w:t>
      </w:r>
      <w:r>
        <w:fldChar w:fldCharType="end"/>
      </w:r>
      <w:r>
        <w:fldChar w:fldCharType="end"/>
      </w:r>
    </w:p>
    <w:p>
      <w:pPr>
        <w:pStyle w:val="20"/>
        <w:rPr>
          <w:sz w:val="21"/>
          <w:szCs w:val="22"/>
        </w:rPr>
      </w:pPr>
      <w:r>
        <w:fldChar w:fldCharType="begin"/>
      </w:r>
      <w:r>
        <w:instrText xml:space="preserve"> HYPERLINK \l "_Toc470167425" </w:instrText>
      </w:r>
      <w:r>
        <w:fldChar w:fldCharType="separate"/>
      </w:r>
      <w:r>
        <w:rPr>
          <w:rStyle w:val="30"/>
        </w:rPr>
        <w:t>6</w:t>
      </w:r>
      <w:r>
        <w:rPr>
          <w:rStyle w:val="30"/>
          <w:rFonts w:hint="eastAsia"/>
        </w:rPr>
        <w:t>、年薪</w:t>
      </w:r>
      <w:r>
        <w:tab/>
      </w:r>
      <w:r>
        <w:fldChar w:fldCharType="begin"/>
      </w:r>
      <w:r>
        <w:instrText xml:space="preserve"> PAGEREF _Toc470167425 \h </w:instrText>
      </w:r>
      <w:r>
        <w:fldChar w:fldCharType="separate"/>
      </w:r>
      <w:r>
        <w:t>153</w:t>
      </w:r>
      <w:r>
        <w:fldChar w:fldCharType="end"/>
      </w:r>
      <w:r>
        <w:fldChar w:fldCharType="end"/>
      </w:r>
    </w:p>
    <w:p>
      <w:pPr>
        <w:pStyle w:val="20"/>
        <w:rPr>
          <w:sz w:val="21"/>
          <w:szCs w:val="22"/>
        </w:rPr>
      </w:pPr>
      <w:r>
        <w:fldChar w:fldCharType="begin"/>
      </w:r>
      <w:r>
        <w:instrText xml:space="preserve"> HYPERLINK \l "_Toc470167426" </w:instrText>
      </w:r>
      <w:r>
        <w:fldChar w:fldCharType="separate"/>
      </w:r>
      <w:r>
        <w:rPr>
          <w:rStyle w:val="30"/>
        </w:rPr>
        <w:t>7</w:t>
      </w:r>
      <w:r>
        <w:rPr>
          <w:rStyle w:val="30"/>
          <w:rFonts w:hint="eastAsia"/>
        </w:rPr>
        <w:t>、福利保障</w:t>
      </w:r>
      <w:r>
        <w:tab/>
      </w:r>
      <w:r>
        <w:fldChar w:fldCharType="begin"/>
      </w:r>
      <w:r>
        <w:instrText xml:space="preserve"> PAGEREF _Toc470167426 \h </w:instrText>
      </w:r>
      <w:r>
        <w:fldChar w:fldCharType="separate"/>
      </w:r>
      <w:r>
        <w:t>155</w:t>
      </w:r>
      <w:r>
        <w:fldChar w:fldCharType="end"/>
      </w:r>
      <w:r>
        <w:fldChar w:fldCharType="end"/>
      </w:r>
    </w:p>
    <w:p>
      <w:pPr>
        <w:pStyle w:val="20"/>
        <w:rPr>
          <w:sz w:val="21"/>
          <w:szCs w:val="22"/>
        </w:rPr>
      </w:pPr>
      <w:r>
        <w:fldChar w:fldCharType="begin"/>
      </w:r>
      <w:r>
        <w:instrText xml:space="preserve"> HYPERLINK \l "_Toc470167427" </w:instrText>
      </w:r>
      <w:r>
        <w:fldChar w:fldCharType="separate"/>
      </w:r>
      <w:r>
        <w:rPr>
          <w:rStyle w:val="30"/>
        </w:rPr>
        <w:t>8</w:t>
      </w:r>
      <w:r>
        <w:rPr>
          <w:rStyle w:val="30"/>
          <w:rFonts w:hint="eastAsia"/>
        </w:rPr>
        <w:t>、发展前景</w:t>
      </w:r>
      <w:r>
        <w:tab/>
      </w:r>
      <w:r>
        <w:fldChar w:fldCharType="begin"/>
      </w:r>
      <w:r>
        <w:instrText xml:space="preserve"> PAGEREF _Toc470167427 \h </w:instrText>
      </w:r>
      <w:r>
        <w:fldChar w:fldCharType="separate"/>
      </w:r>
      <w:r>
        <w:t>158</w:t>
      </w:r>
      <w:r>
        <w:fldChar w:fldCharType="end"/>
      </w:r>
      <w:r>
        <w:fldChar w:fldCharType="end"/>
      </w:r>
    </w:p>
    <w:p>
      <w:pPr>
        <w:pStyle w:val="20"/>
        <w:rPr>
          <w:sz w:val="21"/>
          <w:szCs w:val="22"/>
        </w:rPr>
      </w:pPr>
      <w:r>
        <w:fldChar w:fldCharType="begin"/>
      </w:r>
      <w:r>
        <w:instrText xml:space="preserve"> HYPERLINK \l "_Toc470167428" </w:instrText>
      </w:r>
      <w:r>
        <w:fldChar w:fldCharType="separate"/>
      </w:r>
      <w:r>
        <w:rPr>
          <w:rStyle w:val="30"/>
        </w:rPr>
        <w:t>9</w:t>
      </w:r>
      <w:r>
        <w:rPr>
          <w:rStyle w:val="30"/>
          <w:rFonts w:hint="eastAsia"/>
        </w:rPr>
        <w:t>、稳定性</w:t>
      </w:r>
      <w:r>
        <w:tab/>
      </w:r>
      <w:r>
        <w:fldChar w:fldCharType="begin"/>
      </w:r>
      <w:r>
        <w:instrText xml:space="preserve"> PAGEREF _Toc470167428 \h </w:instrText>
      </w:r>
      <w:r>
        <w:fldChar w:fldCharType="separate"/>
      </w:r>
      <w:r>
        <w:t>161</w:t>
      </w:r>
      <w:r>
        <w:fldChar w:fldCharType="end"/>
      </w:r>
      <w:r>
        <w:fldChar w:fldCharType="end"/>
      </w:r>
    </w:p>
    <w:p>
      <w:pPr>
        <w:pStyle w:val="20"/>
        <w:rPr>
          <w:sz w:val="21"/>
          <w:szCs w:val="22"/>
        </w:rPr>
      </w:pPr>
      <w:r>
        <w:fldChar w:fldCharType="begin"/>
      </w:r>
      <w:r>
        <w:instrText xml:space="preserve"> HYPERLINK \l "_Toc470167429" </w:instrText>
      </w:r>
      <w:r>
        <w:fldChar w:fldCharType="separate"/>
      </w:r>
      <w:r>
        <w:rPr>
          <w:rStyle w:val="30"/>
        </w:rPr>
        <w:t>10</w:t>
      </w:r>
      <w:r>
        <w:rPr>
          <w:rStyle w:val="30"/>
          <w:rFonts w:hint="eastAsia"/>
        </w:rPr>
        <w:t>、人职匹配情况</w:t>
      </w:r>
      <w:r>
        <w:tab/>
      </w:r>
      <w:r>
        <w:fldChar w:fldCharType="begin"/>
      </w:r>
      <w:r>
        <w:instrText xml:space="preserve"> PAGEREF _Toc470167429 \h </w:instrText>
      </w:r>
      <w:r>
        <w:fldChar w:fldCharType="separate"/>
      </w:r>
      <w:r>
        <w:t>163</w:t>
      </w:r>
      <w:r>
        <w:fldChar w:fldCharType="end"/>
      </w:r>
      <w:r>
        <w:fldChar w:fldCharType="end"/>
      </w:r>
    </w:p>
    <w:p>
      <w:pPr>
        <w:pStyle w:val="20"/>
        <w:rPr>
          <w:sz w:val="21"/>
          <w:szCs w:val="22"/>
        </w:rPr>
      </w:pPr>
      <w:r>
        <w:fldChar w:fldCharType="begin"/>
      </w:r>
      <w:r>
        <w:instrText xml:space="preserve"> HYPERLINK \l "_Toc470167430" </w:instrText>
      </w:r>
      <w:r>
        <w:fldChar w:fldCharType="separate"/>
      </w:r>
      <w:r>
        <w:rPr>
          <w:rStyle w:val="30"/>
        </w:rPr>
        <w:t>11</w:t>
      </w:r>
      <w:r>
        <w:rPr>
          <w:rStyle w:val="30"/>
          <w:rFonts w:hint="eastAsia"/>
        </w:rPr>
        <w:t>、落实工作与期望相符情况</w:t>
      </w:r>
      <w:r>
        <w:tab/>
      </w:r>
      <w:r>
        <w:fldChar w:fldCharType="begin"/>
      </w:r>
      <w:r>
        <w:instrText xml:space="preserve"> PAGEREF _Toc470167430 \h </w:instrText>
      </w:r>
      <w:r>
        <w:fldChar w:fldCharType="separate"/>
      </w:r>
      <w:r>
        <w:t>166</w:t>
      </w:r>
      <w:r>
        <w:fldChar w:fldCharType="end"/>
      </w:r>
      <w:r>
        <w:fldChar w:fldCharType="end"/>
      </w:r>
    </w:p>
    <w:p>
      <w:pPr>
        <w:pStyle w:val="12"/>
        <w:rPr>
          <w:iCs w:val="0"/>
          <w:sz w:val="21"/>
          <w:szCs w:val="22"/>
        </w:rPr>
      </w:pPr>
      <w:r>
        <w:fldChar w:fldCharType="begin"/>
      </w:r>
      <w:r>
        <w:instrText xml:space="preserve"> HYPERLINK \l "_Toc470167431" </w:instrText>
      </w:r>
      <w:r>
        <w:fldChar w:fldCharType="separate"/>
      </w:r>
      <w:r>
        <w:rPr>
          <w:rStyle w:val="30"/>
          <w:rFonts w:hint="eastAsia"/>
        </w:rPr>
        <w:t>（三）研究生求职过程</w:t>
      </w:r>
      <w:r>
        <w:tab/>
      </w:r>
      <w:r>
        <w:fldChar w:fldCharType="begin"/>
      </w:r>
      <w:r>
        <w:instrText xml:space="preserve"> PAGEREF _Toc470167431 \h </w:instrText>
      </w:r>
      <w:r>
        <w:fldChar w:fldCharType="separate"/>
      </w:r>
      <w:r>
        <w:t>167</w:t>
      </w:r>
      <w:r>
        <w:fldChar w:fldCharType="end"/>
      </w:r>
      <w:r>
        <w:fldChar w:fldCharType="end"/>
      </w:r>
    </w:p>
    <w:p>
      <w:pPr>
        <w:pStyle w:val="20"/>
        <w:rPr>
          <w:sz w:val="21"/>
          <w:szCs w:val="22"/>
        </w:rPr>
      </w:pPr>
      <w:r>
        <w:fldChar w:fldCharType="begin"/>
      </w:r>
      <w:r>
        <w:instrText xml:space="preserve"> HYPERLINK \l "_Toc470167432" </w:instrText>
      </w:r>
      <w:r>
        <w:fldChar w:fldCharType="separate"/>
      </w:r>
      <w:r>
        <w:rPr>
          <w:rStyle w:val="30"/>
        </w:rPr>
        <w:t>1</w:t>
      </w:r>
      <w:r>
        <w:rPr>
          <w:rStyle w:val="30"/>
          <w:rFonts w:hint="eastAsia"/>
        </w:rPr>
        <w:t>、求职积极程度</w:t>
      </w:r>
      <w:r>
        <w:tab/>
      </w:r>
      <w:r>
        <w:fldChar w:fldCharType="begin"/>
      </w:r>
      <w:r>
        <w:instrText xml:space="preserve"> PAGEREF _Toc470167432 \h </w:instrText>
      </w:r>
      <w:r>
        <w:fldChar w:fldCharType="separate"/>
      </w:r>
      <w:r>
        <w:t>167</w:t>
      </w:r>
      <w:r>
        <w:fldChar w:fldCharType="end"/>
      </w:r>
      <w:r>
        <w:fldChar w:fldCharType="end"/>
      </w:r>
    </w:p>
    <w:p>
      <w:pPr>
        <w:pStyle w:val="20"/>
        <w:rPr>
          <w:sz w:val="21"/>
          <w:szCs w:val="22"/>
        </w:rPr>
      </w:pPr>
      <w:r>
        <w:fldChar w:fldCharType="begin"/>
      </w:r>
      <w:r>
        <w:instrText xml:space="preserve"> HYPERLINK \l "_Toc470167433" </w:instrText>
      </w:r>
      <w:r>
        <w:fldChar w:fldCharType="separate"/>
      </w:r>
      <w:r>
        <w:rPr>
          <w:rStyle w:val="30"/>
        </w:rPr>
        <w:t>2</w:t>
      </w:r>
      <w:r>
        <w:rPr>
          <w:rStyle w:val="30"/>
          <w:rFonts w:hint="eastAsia"/>
        </w:rPr>
        <w:t>、简历投递、面试机会及工作机会</w:t>
      </w:r>
      <w:r>
        <w:tab/>
      </w:r>
      <w:r>
        <w:fldChar w:fldCharType="begin"/>
      </w:r>
      <w:r>
        <w:instrText xml:space="preserve"> PAGEREF _Toc470167433 \h </w:instrText>
      </w:r>
      <w:r>
        <w:fldChar w:fldCharType="separate"/>
      </w:r>
      <w:r>
        <w:t>169</w:t>
      </w:r>
      <w:r>
        <w:fldChar w:fldCharType="end"/>
      </w:r>
      <w:r>
        <w:fldChar w:fldCharType="end"/>
      </w:r>
    </w:p>
    <w:p>
      <w:pPr>
        <w:pStyle w:val="20"/>
        <w:rPr>
          <w:sz w:val="21"/>
          <w:szCs w:val="22"/>
        </w:rPr>
      </w:pPr>
      <w:r>
        <w:fldChar w:fldCharType="begin"/>
      </w:r>
      <w:r>
        <w:instrText xml:space="preserve"> HYPERLINK \l "_Toc470167434" </w:instrText>
      </w:r>
      <w:r>
        <w:fldChar w:fldCharType="separate"/>
      </w:r>
      <w:r>
        <w:rPr>
          <w:rStyle w:val="30"/>
        </w:rPr>
        <w:t>3</w:t>
      </w:r>
      <w:r>
        <w:rPr>
          <w:rStyle w:val="30"/>
          <w:rFonts w:hint="eastAsia"/>
        </w:rPr>
        <w:t>、求职周期和收到第一份录用通知的时间</w:t>
      </w:r>
      <w:r>
        <w:tab/>
      </w:r>
      <w:r>
        <w:fldChar w:fldCharType="begin"/>
      </w:r>
      <w:r>
        <w:instrText xml:space="preserve"> PAGEREF _Toc470167434 \h </w:instrText>
      </w:r>
      <w:r>
        <w:fldChar w:fldCharType="separate"/>
      </w:r>
      <w:r>
        <w:t>170</w:t>
      </w:r>
      <w:r>
        <w:fldChar w:fldCharType="end"/>
      </w:r>
      <w:r>
        <w:fldChar w:fldCharType="end"/>
      </w:r>
    </w:p>
    <w:p>
      <w:pPr>
        <w:pStyle w:val="20"/>
        <w:rPr>
          <w:sz w:val="21"/>
          <w:szCs w:val="22"/>
        </w:rPr>
      </w:pPr>
      <w:r>
        <w:fldChar w:fldCharType="begin"/>
      </w:r>
      <w:r>
        <w:instrText xml:space="preserve"> HYPERLINK \l "_Toc470167435" </w:instrText>
      </w:r>
      <w:r>
        <w:fldChar w:fldCharType="separate"/>
      </w:r>
      <w:r>
        <w:rPr>
          <w:rStyle w:val="30"/>
        </w:rPr>
        <w:t>4</w:t>
      </w:r>
      <w:r>
        <w:rPr>
          <w:rStyle w:val="30"/>
          <w:rFonts w:hint="eastAsia"/>
        </w:rPr>
        <w:t>、求职花费</w:t>
      </w:r>
      <w:r>
        <w:tab/>
      </w:r>
      <w:r>
        <w:fldChar w:fldCharType="begin"/>
      </w:r>
      <w:r>
        <w:instrText xml:space="preserve"> PAGEREF _Toc470167435 \h </w:instrText>
      </w:r>
      <w:r>
        <w:fldChar w:fldCharType="separate"/>
      </w:r>
      <w:r>
        <w:t>172</w:t>
      </w:r>
      <w:r>
        <w:fldChar w:fldCharType="end"/>
      </w:r>
      <w:r>
        <w:fldChar w:fldCharType="end"/>
      </w:r>
    </w:p>
    <w:p>
      <w:pPr>
        <w:pStyle w:val="20"/>
        <w:rPr>
          <w:sz w:val="21"/>
          <w:szCs w:val="22"/>
        </w:rPr>
      </w:pPr>
      <w:r>
        <w:fldChar w:fldCharType="begin"/>
      </w:r>
      <w:r>
        <w:instrText xml:space="preserve"> HYPERLINK \l "_Toc470167436" </w:instrText>
      </w:r>
      <w:r>
        <w:fldChar w:fldCharType="separate"/>
      </w:r>
      <w:r>
        <w:rPr>
          <w:rStyle w:val="30"/>
        </w:rPr>
        <w:t>5</w:t>
      </w:r>
      <w:r>
        <w:rPr>
          <w:rStyle w:val="30"/>
          <w:rFonts w:hint="eastAsia"/>
        </w:rPr>
        <w:t>、求职渠道</w:t>
      </w:r>
      <w:r>
        <w:tab/>
      </w:r>
      <w:r>
        <w:fldChar w:fldCharType="begin"/>
      </w:r>
      <w:r>
        <w:instrText xml:space="preserve"> PAGEREF _Toc470167436 \h </w:instrText>
      </w:r>
      <w:r>
        <w:fldChar w:fldCharType="separate"/>
      </w:r>
      <w:r>
        <w:t>173</w:t>
      </w:r>
      <w:r>
        <w:fldChar w:fldCharType="end"/>
      </w:r>
      <w:r>
        <w:fldChar w:fldCharType="end"/>
      </w:r>
    </w:p>
    <w:p>
      <w:pPr>
        <w:pStyle w:val="19"/>
        <w:rPr>
          <w:b w:val="0"/>
          <w:bCs w:val="0"/>
          <w:caps w:val="0"/>
          <w:sz w:val="21"/>
          <w:szCs w:val="22"/>
        </w:rPr>
      </w:pPr>
      <w:r>
        <w:fldChar w:fldCharType="begin"/>
      </w:r>
      <w:r>
        <w:instrText xml:space="preserve"> HYPERLINK \l "_Toc470167437" </w:instrText>
      </w:r>
      <w:r>
        <w:fldChar w:fldCharType="separate"/>
      </w:r>
      <w:r>
        <w:rPr>
          <w:rStyle w:val="30"/>
          <w:rFonts w:hint="eastAsia" w:ascii="Times New Roman" w:hAnsi="Times New Roman"/>
        </w:rPr>
        <w:t>第四章　用人单位调查数据分析</w:t>
      </w:r>
      <w:r>
        <w:tab/>
      </w:r>
      <w:r>
        <w:rPr>
          <w:b w:val="0"/>
          <w:bCs w:val="0"/>
          <w:sz w:val="21"/>
          <w:szCs w:val="21"/>
        </w:rPr>
        <w:fldChar w:fldCharType="begin"/>
      </w:r>
      <w:r>
        <w:rPr>
          <w:b w:val="0"/>
          <w:bCs w:val="0"/>
          <w:sz w:val="21"/>
          <w:szCs w:val="21"/>
        </w:rPr>
        <w:instrText xml:space="preserve"> PAGEREF _Toc470167437 \h </w:instrText>
      </w:r>
      <w:r>
        <w:rPr>
          <w:b w:val="0"/>
          <w:bCs w:val="0"/>
          <w:sz w:val="21"/>
          <w:szCs w:val="21"/>
        </w:rPr>
        <w:fldChar w:fldCharType="separate"/>
      </w:r>
      <w:r>
        <w:rPr>
          <w:b w:val="0"/>
          <w:bCs w:val="0"/>
          <w:sz w:val="21"/>
          <w:szCs w:val="21"/>
        </w:rPr>
        <w:t>175</w:t>
      </w:r>
      <w:r>
        <w:rPr>
          <w:b w:val="0"/>
          <w:bCs w:val="0"/>
          <w:sz w:val="21"/>
          <w:szCs w:val="21"/>
        </w:rPr>
        <w:fldChar w:fldCharType="end"/>
      </w:r>
      <w:r>
        <w:fldChar w:fldCharType="end"/>
      </w:r>
    </w:p>
    <w:p>
      <w:pPr>
        <w:pStyle w:val="24"/>
        <w:rPr>
          <w:b w:val="0"/>
          <w:bCs/>
          <w:smallCaps w:val="0"/>
          <w:szCs w:val="22"/>
        </w:rPr>
      </w:pPr>
      <w:r>
        <w:rPr>
          <w:b w:val="0"/>
          <w:bCs/>
        </w:rPr>
        <w:fldChar w:fldCharType="begin"/>
      </w:r>
      <w:r>
        <w:rPr>
          <w:b w:val="0"/>
          <w:bCs/>
        </w:rPr>
        <w:instrText xml:space="preserve"> HYPERLINK \l "_Toc470167438" </w:instrText>
      </w:r>
      <w:r>
        <w:rPr>
          <w:b w:val="0"/>
          <w:bCs/>
        </w:rPr>
        <w:fldChar w:fldCharType="separate"/>
      </w:r>
      <w:r>
        <w:rPr>
          <w:rStyle w:val="30"/>
          <w:rFonts w:hint="eastAsia"/>
          <w:b w:val="0"/>
          <w:bCs/>
        </w:rPr>
        <w:t>一、用人单位调查样本特征</w:t>
      </w:r>
      <w:r>
        <w:rPr>
          <w:b w:val="0"/>
          <w:bCs/>
        </w:rPr>
        <w:tab/>
      </w:r>
      <w:r>
        <w:rPr>
          <w:b w:val="0"/>
          <w:bCs/>
        </w:rPr>
        <w:fldChar w:fldCharType="begin"/>
      </w:r>
      <w:r>
        <w:rPr>
          <w:b w:val="0"/>
          <w:bCs/>
        </w:rPr>
        <w:instrText xml:space="preserve"> PAGEREF _Toc470167438 \h </w:instrText>
      </w:r>
      <w:r>
        <w:rPr>
          <w:b w:val="0"/>
          <w:bCs/>
        </w:rPr>
        <w:fldChar w:fldCharType="separate"/>
      </w:r>
      <w:r>
        <w:rPr>
          <w:b w:val="0"/>
          <w:bCs/>
        </w:rPr>
        <w:t>175</w:t>
      </w:r>
      <w:r>
        <w:rPr>
          <w:b w:val="0"/>
          <w:bCs/>
        </w:rPr>
        <w:fldChar w:fldCharType="end"/>
      </w:r>
      <w:r>
        <w:rPr>
          <w:b w:val="0"/>
          <w:bCs/>
        </w:rPr>
        <w:fldChar w:fldCharType="end"/>
      </w:r>
    </w:p>
    <w:p>
      <w:pPr>
        <w:pStyle w:val="24"/>
        <w:rPr>
          <w:b w:val="0"/>
          <w:bCs/>
          <w:smallCaps w:val="0"/>
          <w:szCs w:val="22"/>
        </w:rPr>
      </w:pPr>
      <w:r>
        <w:rPr>
          <w:b w:val="0"/>
          <w:bCs/>
        </w:rPr>
        <w:fldChar w:fldCharType="begin"/>
      </w:r>
      <w:r>
        <w:rPr>
          <w:b w:val="0"/>
          <w:bCs/>
        </w:rPr>
        <w:instrText xml:space="preserve"> HYPERLINK \l "_Toc470167439" </w:instrText>
      </w:r>
      <w:r>
        <w:rPr>
          <w:b w:val="0"/>
          <w:bCs/>
        </w:rPr>
        <w:fldChar w:fldCharType="separate"/>
      </w:r>
      <w:r>
        <w:rPr>
          <w:rStyle w:val="30"/>
          <w:rFonts w:hint="eastAsia"/>
          <w:b w:val="0"/>
          <w:bCs/>
        </w:rPr>
        <w:t>二、调查单位招聘本校毕业生情况</w:t>
      </w:r>
      <w:r>
        <w:rPr>
          <w:b w:val="0"/>
          <w:bCs/>
        </w:rPr>
        <w:tab/>
      </w:r>
      <w:r>
        <w:rPr>
          <w:b w:val="0"/>
          <w:bCs/>
        </w:rPr>
        <w:fldChar w:fldCharType="begin"/>
      </w:r>
      <w:r>
        <w:rPr>
          <w:b w:val="0"/>
          <w:bCs/>
        </w:rPr>
        <w:instrText xml:space="preserve"> PAGEREF _Toc470167439 \h </w:instrText>
      </w:r>
      <w:r>
        <w:rPr>
          <w:b w:val="0"/>
          <w:bCs/>
        </w:rPr>
        <w:fldChar w:fldCharType="separate"/>
      </w:r>
      <w:r>
        <w:rPr>
          <w:b w:val="0"/>
          <w:bCs/>
        </w:rPr>
        <w:t>176</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"_Toc470167440" </w:instrText>
      </w:r>
      <w:r>
        <w:rPr>
          <w:b w:val="0"/>
          <w:bCs/>
        </w:rPr>
        <w:fldChar w:fldCharType="separate"/>
      </w:r>
      <w:r>
        <w:rPr>
          <w:rStyle w:val="30"/>
          <w:b w:val="0"/>
          <w:bCs/>
        </w:rPr>
        <w:t>1</w:t>
      </w:r>
      <w:r>
        <w:rPr>
          <w:rStyle w:val="30"/>
          <w:rFonts w:hint="eastAsia"/>
          <w:b w:val="0"/>
          <w:bCs/>
        </w:rPr>
        <w:t>、实际和计划招聘数量情况</w:t>
      </w:r>
      <w:r>
        <w:rPr>
          <w:b w:val="0"/>
          <w:bCs/>
        </w:rPr>
        <w:tab/>
      </w:r>
      <w:r>
        <w:rPr>
          <w:b w:val="0"/>
          <w:bCs/>
        </w:rPr>
        <w:fldChar w:fldCharType="begin"/>
      </w:r>
      <w:r>
        <w:rPr>
          <w:b w:val="0"/>
          <w:bCs/>
        </w:rPr>
        <w:instrText xml:space="preserve"> PAGEREF _Toc470167440 \h </w:instrText>
      </w:r>
      <w:r>
        <w:rPr>
          <w:b w:val="0"/>
          <w:bCs/>
        </w:rPr>
        <w:fldChar w:fldCharType="separate"/>
      </w:r>
      <w:r>
        <w:rPr>
          <w:b w:val="0"/>
          <w:bCs/>
        </w:rPr>
        <w:t>176</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"_Toc470167441" </w:instrText>
      </w:r>
      <w:r>
        <w:rPr>
          <w:b w:val="0"/>
          <w:bCs/>
        </w:rPr>
        <w:fldChar w:fldCharType="separate"/>
      </w:r>
      <w:r>
        <w:rPr>
          <w:rStyle w:val="30"/>
          <w:b w:val="0"/>
          <w:bCs/>
        </w:rPr>
        <w:t>2</w:t>
      </w:r>
      <w:r>
        <w:rPr>
          <w:rStyle w:val="30"/>
          <w:rFonts w:hint="eastAsia"/>
          <w:b w:val="0"/>
          <w:bCs/>
        </w:rPr>
        <w:t>、实际和计划招聘学历层次情况</w:t>
      </w:r>
      <w:r>
        <w:rPr>
          <w:b w:val="0"/>
          <w:bCs/>
        </w:rPr>
        <w:tab/>
      </w:r>
      <w:r>
        <w:rPr>
          <w:b w:val="0"/>
          <w:bCs/>
        </w:rPr>
        <w:fldChar w:fldCharType="begin"/>
      </w:r>
      <w:r>
        <w:rPr>
          <w:b w:val="0"/>
          <w:bCs/>
        </w:rPr>
        <w:instrText xml:space="preserve"> PAGEREF _Toc470167441 \h </w:instrText>
      </w:r>
      <w:r>
        <w:rPr>
          <w:b w:val="0"/>
          <w:bCs/>
        </w:rPr>
        <w:fldChar w:fldCharType="separate"/>
      </w:r>
      <w:r>
        <w:rPr>
          <w:b w:val="0"/>
          <w:bCs/>
        </w:rPr>
        <w:t>176</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"_Toc470167442" </w:instrText>
      </w:r>
      <w:r>
        <w:rPr>
          <w:b w:val="0"/>
          <w:bCs/>
        </w:rPr>
        <w:fldChar w:fldCharType="separate"/>
      </w:r>
      <w:r>
        <w:rPr>
          <w:rStyle w:val="30"/>
          <w:b w:val="0"/>
          <w:bCs/>
        </w:rPr>
        <w:t>3</w:t>
      </w:r>
      <w:r>
        <w:rPr>
          <w:rStyle w:val="30"/>
          <w:rFonts w:hint="eastAsia"/>
          <w:b w:val="0"/>
          <w:bCs/>
        </w:rPr>
        <w:t>、实际和计划招聘专业情况</w:t>
      </w:r>
      <w:r>
        <w:rPr>
          <w:b w:val="0"/>
          <w:bCs/>
        </w:rPr>
        <w:tab/>
      </w:r>
      <w:r>
        <w:rPr>
          <w:b w:val="0"/>
          <w:bCs/>
        </w:rPr>
        <w:fldChar w:fldCharType="begin"/>
      </w:r>
      <w:r>
        <w:rPr>
          <w:b w:val="0"/>
          <w:bCs/>
        </w:rPr>
        <w:instrText xml:space="preserve"> PAGEREF _Toc470167442 \h </w:instrText>
      </w:r>
      <w:r>
        <w:rPr>
          <w:b w:val="0"/>
          <w:bCs/>
        </w:rPr>
        <w:fldChar w:fldCharType="separate"/>
      </w:r>
      <w:r>
        <w:rPr>
          <w:b w:val="0"/>
          <w:bCs/>
        </w:rPr>
        <w:t>177</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"_Toc470167443" </w:instrText>
      </w:r>
      <w:r>
        <w:rPr>
          <w:b w:val="0"/>
          <w:bCs/>
        </w:rPr>
        <w:fldChar w:fldCharType="separate"/>
      </w:r>
      <w:r>
        <w:rPr>
          <w:rStyle w:val="30"/>
          <w:b w:val="0"/>
          <w:bCs/>
        </w:rPr>
        <w:t>4</w:t>
      </w:r>
      <w:r>
        <w:rPr>
          <w:rStyle w:val="30"/>
          <w:rFonts w:hint="eastAsia"/>
          <w:b w:val="0"/>
          <w:bCs/>
        </w:rPr>
        <w:t>、薪酬和福利保障情况</w:t>
      </w:r>
      <w:r>
        <w:rPr>
          <w:b w:val="0"/>
          <w:bCs/>
        </w:rPr>
        <w:tab/>
      </w:r>
      <w:r>
        <w:rPr>
          <w:b w:val="0"/>
          <w:bCs/>
        </w:rPr>
        <w:fldChar w:fldCharType="begin"/>
      </w:r>
      <w:r>
        <w:rPr>
          <w:b w:val="0"/>
          <w:bCs/>
        </w:rPr>
        <w:instrText xml:space="preserve"> PAGEREF _Toc470167443 \h </w:instrText>
      </w:r>
      <w:r>
        <w:rPr>
          <w:b w:val="0"/>
          <w:bCs/>
        </w:rPr>
        <w:fldChar w:fldCharType="separate"/>
      </w:r>
      <w:r>
        <w:rPr>
          <w:b w:val="0"/>
          <w:bCs/>
        </w:rPr>
        <w:t>177</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"_Toc470167444" </w:instrText>
      </w:r>
      <w:r>
        <w:rPr>
          <w:b w:val="0"/>
          <w:bCs/>
        </w:rPr>
        <w:fldChar w:fldCharType="separate"/>
      </w:r>
      <w:r>
        <w:rPr>
          <w:rStyle w:val="30"/>
          <w:b w:val="0"/>
          <w:bCs/>
        </w:rPr>
        <w:t>5</w:t>
      </w:r>
      <w:r>
        <w:rPr>
          <w:rStyle w:val="30"/>
          <w:rFonts w:hint="eastAsia"/>
          <w:b w:val="0"/>
          <w:bCs/>
        </w:rPr>
        <w:t>、落户政策对</w:t>
      </w:r>
      <w:r>
        <w:rPr>
          <w:rStyle w:val="30"/>
          <w:b w:val="0"/>
          <w:bCs/>
        </w:rPr>
        <w:t>2016</w:t>
      </w:r>
      <w:r>
        <w:rPr>
          <w:rStyle w:val="30"/>
          <w:rFonts w:hint="eastAsia"/>
          <w:b w:val="0"/>
          <w:bCs/>
        </w:rPr>
        <w:t>年招聘计划的影响</w:t>
      </w:r>
      <w:r>
        <w:rPr>
          <w:b w:val="0"/>
          <w:bCs/>
        </w:rPr>
        <w:tab/>
      </w:r>
      <w:r>
        <w:rPr>
          <w:b w:val="0"/>
          <w:bCs/>
        </w:rPr>
        <w:fldChar w:fldCharType="begin"/>
      </w:r>
      <w:r>
        <w:rPr>
          <w:b w:val="0"/>
          <w:bCs/>
        </w:rPr>
        <w:instrText xml:space="preserve"> PAGEREF _Toc470167444 \h </w:instrText>
      </w:r>
      <w:r>
        <w:rPr>
          <w:b w:val="0"/>
          <w:bCs/>
        </w:rPr>
        <w:fldChar w:fldCharType="separate"/>
      </w:r>
      <w:r>
        <w:rPr>
          <w:b w:val="0"/>
          <w:bCs/>
        </w:rPr>
        <w:t>179</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"_Toc470167445" </w:instrText>
      </w:r>
      <w:r>
        <w:rPr>
          <w:b w:val="0"/>
          <w:bCs/>
        </w:rPr>
        <w:fldChar w:fldCharType="separate"/>
      </w:r>
      <w:r>
        <w:rPr>
          <w:rStyle w:val="30"/>
          <w:b w:val="0"/>
          <w:bCs/>
        </w:rPr>
        <w:t>6</w:t>
      </w:r>
      <w:r>
        <w:rPr>
          <w:rStyle w:val="30"/>
          <w:rFonts w:hint="eastAsia"/>
          <w:b w:val="0"/>
          <w:bCs/>
        </w:rPr>
        <w:t>、未来三年对本校毕业生的需求趋势</w:t>
      </w:r>
      <w:r>
        <w:rPr>
          <w:b w:val="0"/>
          <w:bCs/>
        </w:rPr>
        <w:tab/>
      </w:r>
      <w:r>
        <w:rPr>
          <w:b w:val="0"/>
          <w:bCs/>
        </w:rPr>
        <w:fldChar w:fldCharType="begin"/>
      </w:r>
      <w:r>
        <w:rPr>
          <w:b w:val="0"/>
          <w:bCs/>
        </w:rPr>
        <w:instrText xml:space="preserve"> PAGEREF _Toc470167445 \h </w:instrText>
      </w:r>
      <w:r>
        <w:rPr>
          <w:b w:val="0"/>
          <w:bCs/>
        </w:rPr>
        <w:fldChar w:fldCharType="separate"/>
      </w:r>
      <w:r>
        <w:rPr>
          <w:b w:val="0"/>
          <w:bCs/>
        </w:rPr>
        <w:t>180</w:t>
      </w:r>
      <w:r>
        <w:rPr>
          <w:b w:val="0"/>
          <w:bCs/>
        </w:rPr>
        <w:fldChar w:fldCharType="end"/>
      </w:r>
      <w:r>
        <w:rPr>
          <w:b w:val="0"/>
          <w:bCs/>
        </w:rPr>
        <w:fldChar w:fldCharType="end"/>
      </w:r>
    </w:p>
    <w:p>
      <w:pPr>
        <w:pStyle w:val="24"/>
        <w:rPr>
          <w:b w:val="0"/>
          <w:bCs/>
          <w:smallCaps w:val="0"/>
          <w:szCs w:val="22"/>
        </w:rPr>
      </w:pPr>
      <w:r>
        <w:rPr>
          <w:b w:val="0"/>
          <w:bCs/>
        </w:rPr>
        <w:fldChar w:fldCharType="begin"/>
      </w:r>
      <w:r>
        <w:rPr>
          <w:b w:val="0"/>
          <w:bCs/>
        </w:rPr>
        <w:instrText xml:space="preserve"> HYPERLINK \l "_Toc470167446" </w:instrText>
      </w:r>
      <w:r>
        <w:rPr>
          <w:b w:val="0"/>
          <w:bCs/>
        </w:rPr>
        <w:fldChar w:fldCharType="separate"/>
      </w:r>
      <w:r>
        <w:rPr>
          <w:rStyle w:val="30"/>
          <w:rFonts w:hint="eastAsia" w:ascii="Times New Roman" w:hAnsi="Times New Roman"/>
          <w:b w:val="0"/>
          <w:bCs/>
        </w:rPr>
        <w:t>三、</w:t>
      </w:r>
      <w:r>
        <w:rPr>
          <w:rStyle w:val="30"/>
          <w:rFonts w:hint="eastAsia"/>
          <w:b w:val="0"/>
          <w:bCs/>
        </w:rPr>
        <w:t>调查单位对本校毕业生职业能力和职业素养的需求</w:t>
      </w:r>
      <w:r>
        <w:rPr>
          <w:b w:val="0"/>
          <w:bCs/>
        </w:rPr>
        <w:tab/>
      </w:r>
      <w:r>
        <w:rPr>
          <w:b w:val="0"/>
          <w:bCs/>
        </w:rPr>
        <w:fldChar w:fldCharType="begin"/>
      </w:r>
      <w:r>
        <w:rPr>
          <w:b w:val="0"/>
          <w:bCs/>
        </w:rPr>
        <w:instrText xml:space="preserve"> PAGEREF _Toc470167446 \h </w:instrText>
      </w:r>
      <w:r>
        <w:rPr>
          <w:b w:val="0"/>
          <w:bCs/>
        </w:rPr>
        <w:fldChar w:fldCharType="separate"/>
      </w:r>
      <w:r>
        <w:rPr>
          <w:b w:val="0"/>
          <w:bCs/>
        </w:rPr>
        <w:t>181</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"_Toc470167447" </w:instrText>
      </w:r>
      <w:r>
        <w:rPr>
          <w:b w:val="0"/>
          <w:bCs/>
        </w:rPr>
        <w:fldChar w:fldCharType="separate"/>
      </w:r>
      <w:r>
        <w:rPr>
          <w:rStyle w:val="30"/>
          <w:b w:val="0"/>
          <w:bCs/>
        </w:rPr>
        <w:t>1</w:t>
      </w:r>
      <w:r>
        <w:rPr>
          <w:rStyle w:val="30"/>
          <w:rFonts w:hint="eastAsia"/>
          <w:b w:val="0"/>
          <w:bCs/>
        </w:rPr>
        <w:t>、对毕业生各项职业能力和职业素养的重视程度</w:t>
      </w:r>
      <w:r>
        <w:rPr>
          <w:b w:val="0"/>
          <w:bCs/>
        </w:rPr>
        <w:tab/>
      </w:r>
      <w:r>
        <w:rPr>
          <w:b w:val="0"/>
          <w:bCs/>
        </w:rPr>
        <w:fldChar w:fldCharType="begin"/>
      </w:r>
      <w:r>
        <w:rPr>
          <w:b w:val="0"/>
          <w:bCs/>
        </w:rPr>
        <w:instrText xml:space="preserve"> PAGEREF _Toc470167447 \h </w:instrText>
      </w:r>
      <w:r>
        <w:rPr>
          <w:b w:val="0"/>
          <w:bCs/>
        </w:rPr>
        <w:fldChar w:fldCharType="separate"/>
      </w:r>
      <w:r>
        <w:rPr>
          <w:b w:val="0"/>
          <w:bCs/>
        </w:rPr>
        <w:t>181</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"_Toc470167448" </w:instrText>
      </w:r>
      <w:r>
        <w:rPr>
          <w:b w:val="0"/>
          <w:bCs/>
        </w:rPr>
        <w:fldChar w:fldCharType="separate"/>
      </w:r>
      <w:r>
        <w:rPr>
          <w:rStyle w:val="30"/>
          <w:b w:val="0"/>
          <w:bCs/>
        </w:rPr>
        <w:t>2</w:t>
      </w:r>
      <w:r>
        <w:rPr>
          <w:rStyle w:val="30"/>
          <w:rFonts w:hint="eastAsia"/>
          <w:b w:val="0"/>
          <w:bCs/>
        </w:rPr>
        <w:t>、对目前供职于本单位毕业生的职业能力和职业素养提升的期待</w:t>
      </w:r>
      <w:r>
        <w:rPr>
          <w:b w:val="0"/>
          <w:bCs/>
        </w:rPr>
        <w:tab/>
      </w:r>
      <w:r>
        <w:rPr>
          <w:b w:val="0"/>
          <w:bCs/>
        </w:rPr>
        <w:fldChar w:fldCharType="begin"/>
      </w:r>
      <w:r>
        <w:rPr>
          <w:b w:val="0"/>
          <w:bCs/>
        </w:rPr>
        <w:instrText xml:space="preserve"> PAGEREF _Toc470167448 \h </w:instrText>
      </w:r>
      <w:r>
        <w:rPr>
          <w:b w:val="0"/>
          <w:bCs/>
        </w:rPr>
        <w:fldChar w:fldCharType="separate"/>
      </w:r>
      <w:r>
        <w:rPr>
          <w:b w:val="0"/>
          <w:bCs/>
        </w:rPr>
        <w:t>183</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"_Toc470167449" </w:instrText>
      </w:r>
      <w:r>
        <w:rPr>
          <w:b w:val="0"/>
          <w:bCs/>
        </w:rPr>
        <w:fldChar w:fldCharType="separate"/>
      </w:r>
      <w:r>
        <w:rPr>
          <w:rStyle w:val="30"/>
          <w:b w:val="0"/>
          <w:bCs/>
        </w:rPr>
        <w:t>3</w:t>
      </w:r>
      <w:r>
        <w:rPr>
          <w:rStyle w:val="30"/>
          <w:rFonts w:hint="eastAsia"/>
          <w:b w:val="0"/>
          <w:bCs/>
        </w:rPr>
        <w:t>、对毕业生职业发展有助益的学校经历</w:t>
      </w:r>
      <w:r>
        <w:rPr>
          <w:b w:val="0"/>
          <w:bCs/>
        </w:rPr>
        <w:tab/>
      </w:r>
      <w:r>
        <w:rPr>
          <w:b w:val="0"/>
          <w:bCs/>
        </w:rPr>
        <w:fldChar w:fldCharType="begin"/>
      </w:r>
      <w:r>
        <w:rPr>
          <w:b w:val="0"/>
          <w:bCs/>
        </w:rPr>
        <w:instrText xml:space="preserve"> PAGEREF _Toc470167449 \h </w:instrText>
      </w:r>
      <w:r>
        <w:rPr>
          <w:b w:val="0"/>
          <w:bCs/>
        </w:rPr>
        <w:fldChar w:fldCharType="separate"/>
      </w:r>
      <w:r>
        <w:rPr>
          <w:b w:val="0"/>
          <w:bCs/>
        </w:rPr>
        <w:t>185</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"_Toc470167450" </w:instrText>
      </w:r>
      <w:r>
        <w:rPr>
          <w:b w:val="0"/>
          <w:bCs/>
        </w:rPr>
        <w:fldChar w:fldCharType="separate"/>
      </w:r>
      <w:r>
        <w:rPr>
          <w:rStyle w:val="30"/>
          <w:b w:val="0"/>
          <w:bCs/>
        </w:rPr>
        <w:t>4</w:t>
      </w:r>
      <w:r>
        <w:rPr>
          <w:rStyle w:val="30"/>
          <w:rFonts w:hint="eastAsia"/>
          <w:b w:val="0"/>
          <w:bCs/>
        </w:rPr>
        <w:t>、工作中表现优秀的毕业生所具备的特征</w:t>
      </w:r>
      <w:r>
        <w:rPr>
          <w:b w:val="0"/>
          <w:bCs/>
        </w:rPr>
        <w:tab/>
      </w:r>
      <w:r>
        <w:rPr>
          <w:b w:val="0"/>
          <w:bCs/>
        </w:rPr>
        <w:fldChar w:fldCharType="begin"/>
      </w:r>
      <w:r>
        <w:rPr>
          <w:b w:val="0"/>
          <w:bCs/>
        </w:rPr>
        <w:instrText xml:space="preserve"> PAGEREF _Toc470167450 \h </w:instrText>
      </w:r>
      <w:r>
        <w:rPr>
          <w:b w:val="0"/>
          <w:bCs/>
        </w:rPr>
        <w:fldChar w:fldCharType="separate"/>
      </w:r>
      <w:r>
        <w:rPr>
          <w:b w:val="0"/>
          <w:bCs/>
        </w:rPr>
        <w:t>186</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"_Toc470167451" </w:instrText>
      </w:r>
      <w:r>
        <w:rPr>
          <w:b w:val="0"/>
          <w:bCs/>
        </w:rPr>
        <w:fldChar w:fldCharType="separate"/>
      </w:r>
      <w:r>
        <w:rPr>
          <w:rStyle w:val="30"/>
          <w:b w:val="0"/>
          <w:bCs/>
        </w:rPr>
        <w:t>5</w:t>
      </w:r>
      <w:r>
        <w:rPr>
          <w:rStyle w:val="30"/>
          <w:rFonts w:hint="eastAsia"/>
          <w:b w:val="0"/>
          <w:bCs/>
        </w:rPr>
        <w:t>、毕业生入职后转换工作的原因</w:t>
      </w:r>
      <w:r>
        <w:rPr>
          <w:b w:val="0"/>
          <w:bCs/>
        </w:rPr>
        <w:tab/>
      </w:r>
      <w:r>
        <w:rPr>
          <w:b w:val="0"/>
          <w:bCs/>
        </w:rPr>
        <w:fldChar w:fldCharType="begin"/>
      </w:r>
      <w:r>
        <w:rPr>
          <w:b w:val="0"/>
          <w:bCs/>
        </w:rPr>
        <w:instrText xml:space="preserve"> PAGEREF _Toc470167451 \h </w:instrText>
      </w:r>
      <w:r>
        <w:rPr>
          <w:b w:val="0"/>
          <w:bCs/>
        </w:rPr>
        <w:fldChar w:fldCharType="separate"/>
      </w:r>
      <w:r>
        <w:rPr>
          <w:b w:val="0"/>
          <w:bCs/>
        </w:rPr>
        <w:t>187</w:t>
      </w:r>
      <w:r>
        <w:rPr>
          <w:b w:val="0"/>
          <w:bCs/>
        </w:rPr>
        <w:fldChar w:fldCharType="end"/>
      </w:r>
      <w:r>
        <w:rPr>
          <w:b w:val="0"/>
          <w:bCs/>
        </w:rPr>
        <w:fldChar w:fldCharType="end"/>
      </w:r>
    </w:p>
    <w:p>
      <w:pPr>
        <w:pStyle w:val="24"/>
        <w:rPr>
          <w:b w:val="0"/>
          <w:bCs/>
          <w:smallCaps w:val="0"/>
          <w:szCs w:val="22"/>
        </w:rPr>
      </w:pPr>
      <w:r>
        <w:rPr>
          <w:b w:val="0"/>
          <w:bCs/>
        </w:rPr>
        <w:fldChar w:fldCharType="begin"/>
      </w:r>
      <w:r>
        <w:rPr>
          <w:b w:val="0"/>
          <w:bCs/>
        </w:rPr>
        <w:instrText xml:space="preserve"> HYPERLINK \l "_Toc470167452" </w:instrText>
      </w:r>
      <w:r>
        <w:rPr>
          <w:b w:val="0"/>
          <w:bCs/>
        </w:rPr>
        <w:fldChar w:fldCharType="separate"/>
      </w:r>
      <w:r>
        <w:rPr>
          <w:rStyle w:val="30"/>
          <w:rFonts w:hint="eastAsia"/>
          <w:b w:val="0"/>
          <w:bCs/>
        </w:rPr>
        <w:t>四、调查单位对本校毕业生培养质量的评价</w:t>
      </w:r>
      <w:r>
        <w:rPr>
          <w:b w:val="0"/>
          <w:bCs/>
        </w:rPr>
        <w:tab/>
      </w:r>
      <w:r>
        <w:rPr>
          <w:b w:val="0"/>
          <w:bCs/>
        </w:rPr>
        <w:fldChar w:fldCharType="begin"/>
      </w:r>
      <w:r>
        <w:rPr>
          <w:b w:val="0"/>
          <w:bCs/>
        </w:rPr>
        <w:instrText xml:space="preserve"> PAGEREF _Toc470167452 \h </w:instrText>
      </w:r>
      <w:r>
        <w:rPr>
          <w:b w:val="0"/>
          <w:bCs/>
        </w:rPr>
        <w:fldChar w:fldCharType="separate"/>
      </w:r>
      <w:r>
        <w:rPr>
          <w:b w:val="0"/>
          <w:bCs/>
        </w:rPr>
        <w:t>188</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"_Toc470167453" </w:instrText>
      </w:r>
      <w:r>
        <w:rPr>
          <w:b w:val="0"/>
          <w:bCs/>
        </w:rPr>
        <w:fldChar w:fldCharType="separate"/>
      </w:r>
      <w:r>
        <w:rPr>
          <w:rStyle w:val="30"/>
          <w:b w:val="0"/>
          <w:bCs/>
        </w:rPr>
        <w:t>1</w:t>
      </w:r>
      <w:r>
        <w:rPr>
          <w:rStyle w:val="30"/>
          <w:rFonts w:hint="eastAsia"/>
          <w:b w:val="0"/>
          <w:bCs/>
        </w:rPr>
        <w:t>、总体满意度评价</w:t>
      </w:r>
      <w:r>
        <w:rPr>
          <w:b w:val="0"/>
          <w:bCs/>
        </w:rPr>
        <w:tab/>
      </w:r>
      <w:r>
        <w:rPr>
          <w:b w:val="0"/>
          <w:bCs/>
        </w:rPr>
        <w:fldChar w:fldCharType="begin"/>
      </w:r>
      <w:r>
        <w:rPr>
          <w:b w:val="0"/>
          <w:bCs/>
        </w:rPr>
        <w:instrText xml:space="preserve"> PAGEREF _Toc470167453 \h </w:instrText>
      </w:r>
      <w:r>
        <w:rPr>
          <w:b w:val="0"/>
          <w:bCs/>
        </w:rPr>
        <w:fldChar w:fldCharType="separate"/>
      </w:r>
      <w:r>
        <w:rPr>
          <w:b w:val="0"/>
          <w:bCs/>
        </w:rPr>
        <w:t>188</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"_Toc470167454" </w:instrText>
      </w:r>
      <w:r>
        <w:rPr>
          <w:b w:val="0"/>
          <w:bCs/>
        </w:rPr>
        <w:fldChar w:fldCharType="separate"/>
      </w:r>
      <w:r>
        <w:rPr>
          <w:rStyle w:val="30"/>
          <w:b w:val="0"/>
          <w:bCs/>
        </w:rPr>
        <w:t>2</w:t>
      </w:r>
      <w:r>
        <w:rPr>
          <w:rStyle w:val="30"/>
          <w:rFonts w:hint="eastAsia"/>
          <w:b w:val="0"/>
          <w:bCs/>
        </w:rPr>
        <w:t>、专业知识和技能的总体满意度评价</w:t>
      </w:r>
      <w:r>
        <w:rPr>
          <w:b w:val="0"/>
          <w:bCs/>
        </w:rPr>
        <w:tab/>
      </w:r>
      <w:r>
        <w:rPr>
          <w:b w:val="0"/>
          <w:bCs/>
        </w:rPr>
        <w:fldChar w:fldCharType="begin"/>
      </w:r>
      <w:r>
        <w:rPr>
          <w:b w:val="0"/>
          <w:bCs/>
        </w:rPr>
        <w:instrText xml:space="preserve"> PAGEREF _Toc470167454 \h </w:instrText>
      </w:r>
      <w:r>
        <w:rPr>
          <w:b w:val="0"/>
          <w:bCs/>
        </w:rPr>
        <w:fldChar w:fldCharType="separate"/>
      </w:r>
      <w:r>
        <w:rPr>
          <w:b w:val="0"/>
          <w:bCs/>
        </w:rPr>
        <w:t>189</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"_Toc470167455" </w:instrText>
      </w:r>
      <w:r>
        <w:rPr>
          <w:b w:val="0"/>
          <w:bCs/>
        </w:rPr>
        <w:fldChar w:fldCharType="separate"/>
      </w:r>
      <w:r>
        <w:rPr>
          <w:rStyle w:val="30"/>
          <w:b w:val="0"/>
          <w:bCs/>
        </w:rPr>
        <w:t>3</w:t>
      </w:r>
      <w:r>
        <w:rPr>
          <w:rStyle w:val="30"/>
          <w:rFonts w:hint="eastAsia"/>
          <w:b w:val="0"/>
          <w:bCs/>
        </w:rPr>
        <w:t>、</w:t>
      </w:r>
      <w:r>
        <w:rPr>
          <w:rStyle w:val="30"/>
          <w:rFonts w:hint="eastAsia" w:cs="Times New Roman"/>
          <w:b w:val="0"/>
          <w:bCs/>
        </w:rPr>
        <w:t>对</w:t>
      </w:r>
      <w:r>
        <w:rPr>
          <w:rStyle w:val="30"/>
          <w:rFonts w:hint="eastAsia"/>
          <w:b w:val="0"/>
          <w:bCs/>
        </w:rPr>
        <w:t>求职过程中表现的积极程度评价</w:t>
      </w:r>
      <w:r>
        <w:rPr>
          <w:b w:val="0"/>
          <w:bCs/>
        </w:rPr>
        <w:tab/>
      </w:r>
      <w:r>
        <w:rPr>
          <w:b w:val="0"/>
          <w:bCs/>
        </w:rPr>
        <w:fldChar w:fldCharType="begin"/>
      </w:r>
      <w:r>
        <w:rPr>
          <w:b w:val="0"/>
          <w:bCs/>
        </w:rPr>
        <w:instrText xml:space="preserve"> PAGEREF _Toc470167455 \h </w:instrText>
      </w:r>
      <w:r>
        <w:rPr>
          <w:b w:val="0"/>
          <w:bCs/>
        </w:rPr>
        <w:fldChar w:fldCharType="separate"/>
      </w:r>
      <w:r>
        <w:rPr>
          <w:b w:val="0"/>
          <w:bCs/>
        </w:rPr>
        <w:t>190</w:t>
      </w:r>
      <w:r>
        <w:rPr>
          <w:b w:val="0"/>
          <w:bCs/>
        </w:rPr>
        <w:fldChar w:fldCharType="end"/>
      </w:r>
      <w:r>
        <w:rPr>
          <w:b w:val="0"/>
          <w:bCs/>
        </w:rPr>
        <w:fldChar w:fldCharType="end"/>
      </w:r>
    </w:p>
    <w:p>
      <w:pPr>
        <w:pStyle w:val="24"/>
        <w:rPr>
          <w:b w:val="0"/>
          <w:bCs/>
          <w:smallCaps w:val="0"/>
          <w:szCs w:val="22"/>
        </w:rPr>
      </w:pPr>
      <w:r>
        <w:rPr>
          <w:b w:val="0"/>
          <w:bCs/>
        </w:rPr>
        <w:fldChar w:fldCharType="begin"/>
      </w:r>
      <w:r>
        <w:rPr>
          <w:b w:val="0"/>
          <w:bCs/>
        </w:rPr>
        <w:instrText xml:space="preserve"> HYPERLINK \l "_Toc470167456" </w:instrText>
      </w:r>
      <w:r>
        <w:rPr>
          <w:b w:val="0"/>
          <w:bCs/>
        </w:rPr>
        <w:fldChar w:fldCharType="separate"/>
      </w:r>
      <w:r>
        <w:rPr>
          <w:rStyle w:val="30"/>
          <w:rFonts w:hint="eastAsia" w:ascii="Times New Roman" w:hAnsi="Times New Roman"/>
          <w:b w:val="0"/>
          <w:bCs/>
        </w:rPr>
        <w:t>五、</w:t>
      </w:r>
      <w:r>
        <w:rPr>
          <w:rStyle w:val="30"/>
          <w:rFonts w:hint="eastAsia"/>
          <w:b w:val="0"/>
          <w:bCs/>
        </w:rPr>
        <w:t>调查单位对本校就业服务的评价</w:t>
      </w:r>
      <w:r>
        <w:rPr>
          <w:b w:val="0"/>
          <w:bCs/>
        </w:rPr>
        <w:tab/>
      </w:r>
      <w:r>
        <w:rPr>
          <w:b w:val="0"/>
          <w:bCs/>
        </w:rPr>
        <w:fldChar w:fldCharType="begin"/>
      </w:r>
      <w:r>
        <w:rPr>
          <w:b w:val="0"/>
          <w:bCs/>
        </w:rPr>
        <w:instrText xml:space="preserve"> PAGEREF _Toc470167456 \h </w:instrText>
      </w:r>
      <w:r>
        <w:rPr>
          <w:b w:val="0"/>
          <w:bCs/>
        </w:rPr>
        <w:fldChar w:fldCharType="separate"/>
      </w:r>
      <w:r>
        <w:rPr>
          <w:b w:val="0"/>
          <w:bCs/>
        </w:rPr>
        <w:t>191</w:t>
      </w:r>
      <w:r>
        <w:rPr>
          <w:b w:val="0"/>
          <w:bCs/>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"_Toc470167457" </w:instrText>
      </w:r>
      <w:r>
        <w:rPr>
          <w:b w:val="0"/>
          <w:bCs/>
        </w:rPr>
        <w:fldChar w:fldCharType="separate"/>
      </w:r>
      <w:r>
        <w:rPr>
          <w:rStyle w:val="30"/>
          <w:b w:val="0"/>
          <w:bCs/>
        </w:rPr>
        <w:t>1</w:t>
      </w:r>
      <w:r>
        <w:rPr>
          <w:rStyle w:val="30"/>
          <w:rFonts w:hint="eastAsia"/>
          <w:b w:val="0"/>
          <w:bCs/>
        </w:rPr>
        <w:t>、有效校园招聘渠道</w:t>
      </w:r>
      <w:r>
        <w:rPr>
          <w:b w:val="0"/>
          <w:bCs/>
        </w:rPr>
        <w:tab/>
      </w:r>
      <w:r>
        <w:rPr>
          <w:b w:val="0"/>
          <w:bCs/>
          <w:sz w:val="21"/>
          <w:szCs w:val="21"/>
        </w:rPr>
        <w:fldChar w:fldCharType="begin"/>
      </w:r>
      <w:r>
        <w:rPr>
          <w:b w:val="0"/>
          <w:bCs/>
          <w:sz w:val="21"/>
          <w:szCs w:val="21"/>
        </w:rPr>
        <w:instrText xml:space="preserve"> PAGEREF _Toc470167457 \h </w:instrText>
      </w:r>
      <w:r>
        <w:rPr>
          <w:b w:val="0"/>
          <w:bCs/>
          <w:sz w:val="21"/>
          <w:szCs w:val="21"/>
        </w:rPr>
        <w:fldChar w:fldCharType="separate"/>
      </w:r>
      <w:r>
        <w:rPr>
          <w:b w:val="0"/>
          <w:bCs/>
          <w:sz w:val="21"/>
          <w:szCs w:val="21"/>
        </w:rPr>
        <w:t>191</w:t>
      </w:r>
      <w:r>
        <w:rPr>
          <w:b w:val="0"/>
          <w:bCs/>
          <w:sz w:val="21"/>
          <w:szCs w:val="21"/>
        </w:rPr>
        <w:fldChar w:fldCharType="end"/>
      </w:r>
      <w:r>
        <w:rPr>
          <w:b w:val="0"/>
          <w:bCs/>
        </w:rPr>
        <w:fldChar w:fldCharType="end"/>
      </w:r>
    </w:p>
    <w:p>
      <w:pPr>
        <w:pStyle w:val="12"/>
        <w:rPr>
          <w:b w:val="0"/>
          <w:bCs/>
          <w:iCs w:val="0"/>
          <w:sz w:val="21"/>
          <w:szCs w:val="22"/>
        </w:rPr>
      </w:pPr>
      <w:r>
        <w:rPr>
          <w:b w:val="0"/>
          <w:bCs/>
        </w:rPr>
        <w:fldChar w:fldCharType="begin"/>
      </w:r>
      <w:r>
        <w:rPr>
          <w:b w:val="0"/>
          <w:bCs/>
        </w:rPr>
        <w:instrText xml:space="preserve"> HYPERLINK \l "_Toc470167458" </w:instrText>
      </w:r>
      <w:r>
        <w:rPr>
          <w:b w:val="0"/>
          <w:bCs/>
        </w:rPr>
        <w:fldChar w:fldCharType="separate"/>
      </w:r>
      <w:r>
        <w:rPr>
          <w:rStyle w:val="30"/>
          <w:b w:val="0"/>
          <w:bCs/>
        </w:rPr>
        <w:t>2</w:t>
      </w:r>
      <w:r>
        <w:rPr>
          <w:rStyle w:val="30"/>
          <w:rFonts w:hint="eastAsia"/>
          <w:b w:val="0"/>
          <w:bCs/>
        </w:rPr>
        <w:t>、最需要本校提供的就业服务</w:t>
      </w:r>
      <w:r>
        <w:rPr>
          <w:b w:val="0"/>
          <w:bCs/>
        </w:rPr>
        <w:tab/>
      </w:r>
      <w:r>
        <w:rPr>
          <w:b w:val="0"/>
          <w:bCs/>
          <w:sz w:val="21"/>
          <w:szCs w:val="21"/>
        </w:rPr>
        <w:fldChar w:fldCharType="begin"/>
      </w:r>
      <w:r>
        <w:rPr>
          <w:b w:val="0"/>
          <w:bCs/>
          <w:sz w:val="21"/>
          <w:szCs w:val="21"/>
        </w:rPr>
        <w:instrText xml:space="preserve"> PAGEREF _Toc470167458 \h </w:instrText>
      </w:r>
      <w:r>
        <w:rPr>
          <w:b w:val="0"/>
          <w:bCs/>
          <w:sz w:val="21"/>
          <w:szCs w:val="21"/>
        </w:rPr>
        <w:fldChar w:fldCharType="separate"/>
      </w:r>
      <w:r>
        <w:rPr>
          <w:b w:val="0"/>
          <w:bCs/>
          <w:sz w:val="21"/>
          <w:szCs w:val="21"/>
        </w:rPr>
        <w:t>193</w:t>
      </w:r>
      <w:r>
        <w:rPr>
          <w:b w:val="0"/>
          <w:bCs/>
          <w:sz w:val="21"/>
          <w:szCs w:val="21"/>
        </w:rPr>
        <w:fldChar w:fldCharType="end"/>
      </w:r>
      <w:r>
        <w:rPr>
          <w:b w:val="0"/>
          <w:bCs/>
        </w:rPr>
        <w:fldChar w:fldCharType="end"/>
      </w:r>
    </w:p>
    <w:p>
      <w:pPr>
        <w:pStyle w:val="12"/>
        <w:rPr>
          <w:b w:val="0"/>
          <w:bCs/>
        </w:rPr>
      </w:pPr>
      <w:r>
        <w:rPr>
          <w:b w:val="0"/>
          <w:bCs/>
        </w:rPr>
        <w:fldChar w:fldCharType="begin"/>
      </w:r>
      <w:r>
        <w:rPr>
          <w:b w:val="0"/>
          <w:bCs/>
        </w:rPr>
        <w:instrText xml:space="preserve"> HYPERLINK \l "_Toc470167459" </w:instrText>
      </w:r>
      <w:r>
        <w:rPr>
          <w:b w:val="0"/>
          <w:bCs/>
        </w:rPr>
        <w:fldChar w:fldCharType="separate"/>
      </w:r>
      <w:r>
        <w:rPr>
          <w:rStyle w:val="30"/>
          <w:b w:val="0"/>
          <w:bCs/>
        </w:rPr>
        <w:t>3</w:t>
      </w:r>
      <w:r>
        <w:rPr>
          <w:rStyle w:val="30"/>
          <w:rFonts w:hint="eastAsia"/>
          <w:b w:val="0"/>
          <w:bCs/>
        </w:rPr>
        <w:t>、对本校就业指导与服务工作的评价</w:t>
      </w:r>
      <w:r>
        <w:rPr>
          <w:b w:val="0"/>
          <w:bCs/>
        </w:rPr>
        <w:tab/>
      </w:r>
      <w:r>
        <w:rPr>
          <w:b w:val="0"/>
          <w:bCs/>
          <w:sz w:val="21"/>
          <w:szCs w:val="21"/>
        </w:rPr>
        <w:fldChar w:fldCharType="begin"/>
      </w:r>
      <w:r>
        <w:rPr>
          <w:b w:val="0"/>
          <w:bCs/>
          <w:sz w:val="21"/>
          <w:szCs w:val="21"/>
        </w:rPr>
        <w:instrText xml:space="preserve"> PAGEREF _Toc470167459 \h </w:instrText>
      </w:r>
      <w:r>
        <w:rPr>
          <w:b w:val="0"/>
          <w:bCs/>
          <w:sz w:val="21"/>
          <w:szCs w:val="21"/>
        </w:rPr>
        <w:fldChar w:fldCharType="separate"/>
      </w:r>
      <w:r>
        <w:rPr>
          <w:b w:val="0"/>
          <w:bCs/>
          <w:sz w:val="21"/>
          <w:szCs w:val="21"/>
        </w:rPr>
        <w:t>194</w:t>
      </w:r>
      <w:r>
        <w:rPr>
          <w:b w:val="0"/>
          <w:bCs/>
          <w:sz w:val="21"/>
          <w:szCs w:val="21"/>
        </w:rPr>
        <w:fldChar w:fldCharType="end"/>
      </w:r>
      <w:r>
        <w:rPr>
          <w:b w:val="0"/>
          <w:bCs/>
        </w:rPr>
        <w:fldChar w:fldCharType="end"/>
      </w:r>
    </w:p>
    <w:p>
      <w:r>
        <w:rPr>
          <w:b/>
          <w:bCs/>
          <w:sz w:val="24"/>
          <w:szCs w:val="24"/>
        </w:rPr>
        <w:fldChar w:fldCharType="begin"/>
      </w:r>
      <w:r>
        <w:rPr>
          <w:b/>
          <w:bCs/>
          <w:sz w:val="24"/>
          <w:szCs w:val="24"/>
        </w:rPr>
        <w:instrText xml:space="preserve"> HYPERLINK \l "_Toc470167437" </w:instrText>
      </w:r>
      <w:r>
        <w:rPr>
          <w:b/>
          <w:bCs/>
          <w:sz w:val="24"/>
          <w:szCs w:val="24"/>
        </w:rPr>
        <w:fldChar w:fldCharType="separate"/>
      </w:r>
      <w:r>
        <w:rPr>
          <w:rStyle w:val="30"/>
          <w:rFonts w:hint="eastAsia" w:ascii="Times New Roman" w:hAnsi="Times New Roman"/>
          <w:b/>
          <w:bCs/>
          <w:sz w:val="24"/>
          <w:szCs w:val="24"/>
        </w:rPr>
        <w:t>第</w:t>
      </w:r>
      <w:r>
        <w:rPr>
          <w:rStyle w:val="30"/>
          <w:rFonts w:hint="eastAsia" w:ascii="Times New Roman" w:hAnsi="Times New Roman"/>
          <w:b/>
          <w:bCs/>
          <w:sz w:val="24"/>
          <w:szCs w:val="24"/>
          <w:lang w:eastAsia="zh-CN"/>
        </w:rPr>
        <w:t>五</w:t>
      </w:r>
      <w:r>
        <w:rPr>
          <w:rStyle w:val="30"/>
          <w:rFonts w:hint="eastAsia" w:ascii="Times New Roman" w:hAnsi="Times New Roman"/>
          <w:b/>
          <w:bCs/>
          <w:sz w:val="24"/>
          <w:szCs w:val="24"/>
        </w:rPr>
        <w:t>章</w:t>
      </w:r>
      <w:r>
        <w:rPr>
          <w:rStyle w:val="30"/>
          <w:rFonts w:hint="eastAsia" w:ascii="Times New Roman" w:hAnsi="Times New Roman"/>
          <w:b/>
          <w:bCs/>
          <w:sz w:val="24"/>
          <w:szCs w:val="24"/>
          <w:lang w:val="en-US" w:eastAsia="zh-CN"/>
        </w:rPr>
        <w:t xml:space="preserve">  就业创业指导与服务</w:t>
      </w:r>
      <w:r>
        <w:rPr>
          <w:b/>
          <w:bCs/>
          <w:sz w:val="24"/>
          <w:szCs w:val="24"/>
        </w:rPr>
        <w:fldChar w:fldCharType="end"/>
      </w:r>
      <w:r>
        <w:rPr>
          <w:rFonts w:hint="eastAsia"/>
          <w:b/>
          <w:bCs/>
          <w:sz w:val="24"/>
          <w:szCs w:val="24"/>
          <w:lang w:val="en-US" w:eastAsia="zh-CN"/>
        </w:rPr>
        <w:t xml:space="preserve">  </w:t>
      </w:r>
      <w:r>
        <w:rPr>
          <w:rFonts w:hint="default" w:ascii="Arial" w:hAnsi="Arial" w:cs="Arial"/>
        </w:rPr>
        <w:t>…………………………………………………………………………</w:t>
      </w:r>
      <w:r>
        <w:rPr>
          <w:rFonts w:hint="eastAsia"/>
          <w:sz w:val="21"/>
          <w:szCs w:val="21"/>
          <w:lang w:val="en-US" w:eastAsia="zh-CN"/>
        </w:rPr>
        <w:t>204</w:t>
      </w:r>
    </w:p>
    <w:p>
      <w:pPr>
        <w:rPr>
          <w:rFonts w:hint="default" w:ascii="Arial" w:hAnsi="Arial" w:cs="Arial"/>
          <w:sz w:val="18"/>
          <w:szCs w:val="18"/>
        </w:rPr>
      </w:pPr>
      <w:r>
        <w:rPr>
          <w:rFonts w:hint="eastAsia"/>
          <w:lang w:val="en-US" w:eastAsia="zh-CN"/>
        </w:rPr>
        <w:t xml:space="preserve">    一、提升就业工作人员能力水平 </w:t>
      </w:r>
      <w:r>
        <w:rPr>
          <w:rFonts w:hint="default" w:ascii="Arial" w:hAnsi="Arial" w:cs="Arial"/>
        </w:rPr>
        <w:t>…………………………………………………………………………</w:t>
      </w:r>
      <w:r>
        <w:rPr>
          <w:rFonts w:hint="eastAsia" w:ascii="Arial" w:hAnsi="Arial" w:cs="Arial"/>
          <w:sz w:val="21"/>
          <w:szCs w:val="21"/>
          <w:lang w:val="en-US" w:eastAsia="zh-CN"/>
        </w:rPr>
        <w:t>204</w:t>
      </w:r>
    </w:p>
    <w:p>
      <w:pPr>
        <w:rPr>
          <w:rFonts w:hint="eastAsia"/>
          <w:lang w:val="en-US" w:eastAsia="zh-CN"/>
        </w:rPr>
      </w:pPr>
      <w:r>
        <w:rPr>
          <w:rFonts w:hint="eastAsia"/>
          <w:lang w:val="en-US" w:eastAsia="zh-CN"/>
        </w:rPr>
        <w:t xml:space="preserve">    二、加强了就业指导的力度</w:t>
      </w:r>
      <w:r>
        <w:rPr>
          <w:rFonts w:hint="default" w:ascii="Arial" w:hAnsi="Arial" w:cs="Arial"/>
        </w:rPr>
        <w:t>………………………………………………………………………………</w:t>
      </w:r>
      <w:r>
        <w:rPr>
          <w:rFonts w:hint="eastAsia" w:ascii="Arial" w:hAnsi="Arial" w:cs="Arial"/>
          <w:sz w:val="18"/>
          <w:szCs w:val="18"/>
          <w:lang w:val="en-US" w:eastAsia="zh-CN"/>
        </w:rPr>
        <w:t>204</w:t>
      </w:r>
    </w:p>
    <w:p>
      <w:pPr>
        <w:rPr>
          <w:rFonts w:hint="eastAsia"/>
          <w:lang w:val="en-US" w:eastAsia="zh-CN"/>
        </w:rPr>
      </w:pPr>
      <w:r>
        <w:rPr>
          <w:rFonts w:hint="eastAsia"/>
          <w:lang w:val="en-US" w:eastAsia="zh-CN"/>
        </w:rPr>
        <w:t xml:space="preserve">    三、努力构建“指导+服务+平台”的工作模式 </w:t>
      </w:r>
      <w:r>
        <w:rPr>
          <w:rFonts w:hint="default" w:ascii="Arial" w:hAnsi="Arial" w:cs="Arial"/>
        </w:rPr>
        <w:t>…………………………………………………………</w:t>
      </w:r>
      <w:r>
        <w:rPr>
          <w:rFonts w:hint="eastAsia" w:ascii="Arial" w:hAnsi="Arial" w:cs="Arial"/>
          <w:lang w:val="en-US" w:eastAsia="zh-CN"/>
        </w:rPr>
        <w:t>204</w:t>
      </w:r>
    </w:p>
    <w:p>
      <w:pPr>
        <w:rPr>
          <w:rFonts w:hint="eastAsia"/>
          <w:lang w:val="en-US" w:eastAsia="zh-CN"/>
        </w:rPr>
      </w:pPr>
      <w:r>
        <w:rPr>
          <w:rFonts w:hint="eastAsia"/>
          <w:lang w:val="en-US" w:eastAsia="zh-CN"/>
        </w:rPr>
        <w:t xml:space="preserve">    四、升级就业指导中心微信平台 </w:t>
      </w:r>
      <w:r>
        <w:rPr>
          <w:rFonts w:hint="default" w:ascii="Arial" w:hAnsi="Arial" w:cs="Arial"/>
        </w:rPr>
        <w:t>…………………………………………………………………………</w:t>
      </w:r>
      <w:r>
        <w:rPr>
          <w:rFonts w:hint="eastAsia" w:ascii="Arial" w:hAnsi="Arial" w:cs="Arial"/>
          <w:lang w:val="en-US" w:eastAsia="zh-CN"/>
        </w:rPr>
        <w:t>204</w:t>
      </w:r>
    </w:p>
    <w:p>
      <w:pPr>
        <w:rPr>
          <w:rFonts w:hint="eastAsia"/>
          <w:lang w:val="en-US" w:eastAsia="zh-CN"/>
        </w:rPr>
      </w:pPr>
      <w:r>
        <w:rPr>
          <w:rFonts w:hint="eastAsia"/>
          <w:lang w:val="en-US" w:eastAsia="zh-CN"/>
        </w:rPr>
        <w:t xml:space="preserve">    五、建立就业创业工作信息反馈制度 </w:t>
      </w:r>
      <w:r>
        <w:rPr>
          <w:rFonts w:hint="default" w:ascii="Arial" w:hAnsi="Arial" w:cs="Arial"/>
        </w:rPr>
        <w:t>……………………………………………………………………</w:t>
      </w:r>
      <w:r>
        <w:rPr>
          <w:rFonts w:hint="eastAsia" w:ascii="Arial" w:hAnsi="Arial" w:cs="Arial"/>
          <w:lang w:val="en-US" w:eastAsia="zh-CN"/>
        </w:rPr>
        <w:t>205</w:t>
      </w:r>
    </w:p>
    <w:p>
      <w:pPr>
        <w:rPr>
          <w:rFonts w:hint="eastAsia"/>
          <w:lang w:val="en-US" w:eastAsia="zh-CN"/>
        </w:rPr>
      </w:pPr>
      <w:r>
        <w:rPr>
          <w:rFonts w:hint="eastAsia"/>
          <w:lang w:val="en-US" w:eastAsia="zh-CN"/>
        </w:rPr>
        <w:t xml:space="preserve">    六、积极开拓就业市场 </w:t>
      </w:r>
      <w:r>
        <w:rPr>
          <w:rFonts w:hint="default" w:ascii="Arial" w:hAnsi="Arial" w:cs="Arial"/>
        </w:rPr>
        <w:t>……………………………………………………………………………………</w:t>
      </w:r>
      <w:r>
        <w:rPr>
          <w:rFonts w:hint="eastAsia" w:ascii="Arial" w:hAnsi="Arial" w:cs="Arial"/>
          <w:lang w:val="en-US" w:eastAsia="zh-CN"/>
        </w:rPr>
        <w:t>205</w:t>
      </w:r>
    </w:p>
    <w:p>
      <w:pPr>
        <w:rPr>
          <w:rFonts w:hint="eastAsia"/>
          <w:lang w:val="en-US" w:eastAsia="zh-CN"/>
        </w:rPr>
      </w:pPr>
      <w:r>
        <w:rPr>
          <w:rFonts w:hint="eastAsia"/>
          <w:lang w:val="en-US" w:eastAsia="zh-CN"/>
        </w:rPr>
        <w:t xml:space="preserve">    七、举办多场多种形式的校园招聘会 </w:t>
      </w:r>
      <w:r>
        <w:rPr>
          <w:rFonts w:hint="default" w:ascii="Arial" w:hAnsi="Arial" w:cs="Arial"/>
        </w:rPr>
        <w:t>……………………………………………………………………</w:t>
      </w:r>
      <w:r>
        <w:rPr>
          <w:rFonts w:hint="eastAsia" w:ascii="Arial" w:hAnsi="Arial" w:cs="Arial"/>
          <w:lang w:val="en-US" w:eastAsia="zh-CN"/>
        </w:rPr>
        <w:t>205</w:t>
      </w:r>
    </w:p>
    <w:p>
      <w:pPr>
        <w:rPr>
          <w:rFonts w:hint="eastAsia"/>
          <w:lang w:val="en-US" w:eastAsia="zh-CN"/>
        </w:rPr>
      </w:pPr>
      <w:r>
        <w:rPr>
          <w:rFonts w:hint="eastAsia"/>
          <w:lang w:val="en-US" w:eastAsia="zh-CN"/>
        </w:rPr>
        <w:t xml:space="preserve">    八、动员多方力量，合力做好毕业生就业工作 </w:t>
      </w:r>
      <w:r>
        <w:rPr>
          <w:rFonts w:hint="default" w:ascii="Arial" w:hAnsi="Arial" w:cs="Arial"/>
        </w:rPr>
        <w:t>…………………………………………………………</w:t>
      </w:r>
      <w:r>
        <w:rPr>
          <w:rFonts w:hint="eastAsia" w:ascii="Arial" w:hAnsi="Arial" w:cs="Arial"/>
          <w:lang w:val="en-US" w:eastAsia="zh-CN"/>
        </w:rPr>
        <w:t>205</w:t>
      </w:r>
    </w:p>
    <w:p>
      <w:pPr>
        <w:numPr>
          <w:ilvl w:val="0"/>
          <w:numId w:val="3"/>
        </w:numPr>
        <w:rPr>
          <w:rFonts w:hint="eastAsia"/>
          <w:lang w:val="en-US" w:eastAsia="zh-CN"/>
        </w:rPr>
      </w:pPr>
      <w:r>
        <w:rPr>
          <w:rFonts w:hint="eastAsia"/>
          <w:b/>
          <w:bCs/>
          <w:sz w:val="24"/>
          <w:szCs w:val="24"/>
          <w:lang w:val="en-US" w:eastAsia="zh-CN"/>
        </w:rPr>
        <w:t xml:space="preserve"> 就业形势研判</w:t>
      </w:r>
      <w:r>
        <w:rPr>
          <w:rFonts w:hint="default" w:ascii="Arial" w:hAnsi="Arial" w:cs="Arial"/>
        </w:rPr>
        <w:t>……</w:t>
      </w:r>
      <w:r>
        <w:rPr>
          <w:rFonts w:hint="eastAsia" w:ascii="Arial" w:hAnsi="Arial" w:cs="Arial"/>
          <w:lang w:val="en-US" w:eastAsia="zh-CN"/>
        </w:rPr>
        <w:t xml:space="preserve"> </w:t>
      </w:r>
      <w:r>
        <w:rPr>
          <w:rFonts w:hint="default" w:ascii="Arial" w:hAnsi="Arial" w:cs="Arial"/>
        </w:rPr>
        <w:t>…………………………………………………………………………………</w:t>
      </w:r>
      <w:r>
        <w:rPr>
          <w:rFonts w:hint="eastAsia" w:ascii="Arial" w:hAnsi="Arial" w:cs="Arial"/>
          <w:lang w:val="en-US" w:eastAsia="zh-CN"/>
        </w:rPr>
        <w:t>206</w:t>
      </w:r>
    </w:p>
    <w:p>
      <w:pPr>
        <w:numPr>
          <w:ilvl w:val="0"/>
          <w:numId w:val="0"/>
        </w:numPr>
        <w:rPr>
          <w:rFonts w:hint="eastAsia"/>
          <w:lang w:val="en-US" w:eastAsia="zh-CN"/>
        </w:rPr>
      </w:pPr>
      <w:r>
        <w:rPr>
          <w:rFonts w:hint="eastAsia"/>
          <w:lang w:val="en-US" w:eastAsia="zh-CN"/>
        </w:rPr>
        <w:t xml:space="preserve">    一、就业形势更加严峻，毕业生就业更加困难 </w:t>
      </w:r>
      <w:r>
        <w:rPr>
          <w:rFonts w:hint="default" w:ascii="Arial" w:hAnsi="Arial" w:cs="Arial"/>
        </w:rPr>
        <w:t>…………………………………………………………</w:t>
      </w:r>
      <w:r>
        <w:rPr>
          <w:rFonts w:hint="eastAsia" w:ascii="Arial" w:hAnsi="Arial" w:cs="Arial"/>
          <w:lang w:val="en-US" w:eastAsia="zh-CN"/>
        </w:rPr>
        <w:t>206</w:t>
      </w:r>
    </w:p>
    <w:p>
      <w:pPr>
        <w:numPr>
          <w:ilvl w:val="0"/>
          <w:numId w:val="0"/>
        </w:numPr>
        <w:rPr>
          <w:rFonts w:hint="eastAsia"/>
          <w:lang w:val="en-US" w:eastAsia="zh-CN"/>
        </w:rPr>
      </w:pPr>
      <w:r>
        <w:rPr>
          <w:rFonts w:hint="eastAsia"/>
          <w:lang w:val="en-US" w:eastAsia="zh-CN"/>
        </w:rPr>
        <w:t xml:space="preserve">    二、毕业生数量连年递增，加剧就业市场竞争</w:t>
      </w:r>
      <w:r>
        <w:rPr>
          <w:rFonts w:hint="default" w:ascii="Arial" w:hAnsi="Arial" w:cs="Arial"/>
        </w:rPr>
        <w:t>……………………………………………………………</w:t>
      </w:r>
      <w:r>
        <w:rPr>
          <w:rFonts w:hint="eastAsia" w:ascii="Arial" w:hAnsi="Arial" w:cs="Arial"/>
          <w:lang w:val="en-US" w:eastAsia="zh-CN"/>
        </w:rPr>
        <w:t>206</w:t>
      </w:r>
    </w:p>
    <w:p>
      <w:pPr>
        <w:numPr>
          <w:ilvl w:val="0"/>
          <w:numId w:val="0"/>
        </w:numPr>
        <w:rPr>
          <w:rFonts w:hint="eastAsia"/>
          <w:lang w:val="en-US" w:eastAsia="zh-CN"/>
        </w:rPr>
      </w:pPr>
      <w:r>
        <w:rPr>
          <w:rFonts w:hint="eastAsia"/>
          <w:lang w:val="en-US" w:eastAsia="zh-CN"/>
        </w:rPr>
        <w:t xml:space="preserve">    三、北京市城市功能定位调整，疏解中心区人口</w:t>
      </w:r>
      <w:r>
        <w:rPr>
          <w:rFonts w:hint="default" w:ascii="Arial" w:hAnsi="Arial" w:cs="Arial"/>
        </w:rPr>
        <w:t>…………………………………………………………</w:t>
      </w:r>
      <w:r>
        <w:rPr>
          <w:rFonts w:hint="eastAsia" w:ascii="Arial" w:hAnsi="Arial" w:cs="Arial"/>
          <w:lang w:val="en-US" w:eastAsia="zh-CN"/>
        </w:rPr>
        <w:t>206</w:t>
      </w:r>
    </w:p>
    <w:p>
      <w:pPr>
        <w:numPr>
          <w:ilvl w:val="0"/>
          <w:numId w:val="0"/>
        </w:numPr>
        <w:rPr>
          <w:rFonts w:hint="eastAsia"/>
          <w:lang w:val="en-US" w:eastAsia="zh-CN"/>
        </w:rPr>
      </w:pPr>
      <w:r>
        <w:rPr>
          <w:rFonts w:hint="eastAsia"/>
          <w:lang w:val="en-US" w:eastAsia="zh-CN"/>
        </w:rPr>
        <w:t xml:space="preserve">    四、国家支持“双创”的政策带来新机遇 </w:t>
      </w:r>
      <w:r>
        <w:rPr>
          <w:rFonts w:hint="default" w:ascii="Arial" w:hAnsi="Arial" w:cs="Arial"/>
        </w:rPr>
        <w:t>………………………………………………………………</w:t>
      </w:r>
      <w:r>
        <w:rPr>
          <w:rFonts w:hint="eastAsia" w:ascii="Arial" w:hAnsi="Arial" w:cs="Arial"/>
          <w:lang w:val="en-US" w:eastAsia="zh-CN"/>
        </w:rPr>
        <w:t>206</w:t>
      </w:r>
    </w:p>
    <w:p>
      <w:pPr>
        <w:numPr>
          <w:ilvl w:val="0"/>
          <w:numId w:val="3"/>
        </w:numPr>
        <w:rPr>
          <w:rFonts w:hint="eastAsia"/>
          <w:lang w:val="en-US" w:eastAsia="zh-CN"/>
        </w:rPr>
      </w:pPr>
      <w:r>
        <w:rPr>
          <w:rFonts w:hint="eastAsia"/>
          <w:b/>
          <w:bCs/>
          <w:sz w:val="24"/>
          <w:szCs w:val="24"/>
          <w:lang w:val="en-US" w:eastAsia="zh-CN"/>
        </w:rPr>
        <w:t xml:space="preserve"> 对教育教学的反馈 </w:t>
      </w:r>
      <w:r>
        <w:rPr>
          <w:rFonts w:hint="default" w:ascii="Arial" w:hAnsi="Arial" w:cs="Arial"/>
        </w:rPr>
        <w:t>……………………</w:t>
      </w:r>
      <w:r>
        <w:rPr>
          <w:rFonts w:hint="eastAsia" w:ascii="Arial" w:hAnsi="Arial" w:cs="Arial"/>
          <w:lang w:val="en-US" w:eastAsia="zh-CN"/>
        </w:rPr>
        <w:t xml:space="preserve"> </w:t>
      </w:r>
      <w:r>
        <w:rPr>
          <w:rFonts w:hint="default" w:ascii="Arial" w:hAnsi="Arial" w:cs="Arial"/>
        </w:rPr>
        <w:t>…………………………………………………………</w:t>
      </w:r>
      <w:r>
        <w:rPr>
          <w:rFonts w:hint="eastAsia" w:ascii="Arial" w:hAnsi="Arial" w:cs="Arial"/>
          <w:lang w:val="en-US" w:eastAsia="zh-CN"/>
        </w:rPr>
        <w:t>207</w:t>
      </w:r>
    </w:p>
    <w:p>
      <w:pPr>
        <w:numPr>
          <w:ilvl w:val="0"/>
          <w:numId w:val="0"/>
        </w:numPr>
        <w:rPr>
          <w:rFonts w:hint="eastAsia"/>
          <w:lang w:val="en-US" w:eastAsia="zh-CN"/>
        </w:rPr>
      </w:pPr>
      <w:r>
        <w:rPr>
          <w:rFonts w:hint="eastAsia"/>
          <w:lang w:val="en-US" w:eastAsia="zh-CN"/>
        </w:rPr>
        <w:t xml:space="preserve">    一、就业与招生联动，相互促进</w:t>
      </w:r>
      <w:r>
        <w:rPr>
          <w:rFonts w:hint="default" w:ascii="Arial" w:hAnsi="Arial" w:cs="Arial"/>
        </w:rPr>
        <w:t>………</w:t>
      </w:r>
      <w:r>
        <w:rPr>
          <w:rFonts w:hint="eastAsia" w:ascii="Arial" w:hAnsi="Arial" w:cs="Arial"/>
          <w:lang w:val="en-US" w:eastAsia="zh-CN"/>
        </w:rPr>
        <w:t xml:space="preserve"> </w:t>
      </w:r>
      <w:r>
        <w:rPr>
          <w:rFonts w:hint="default" w:ascii="Arial" w:hAnsi="Arial" w:cs="Arial"/>
        </w:rPr>
        <w:t>…………………………………………………………………</w:t>
      </w:r>
      <w:r>
        <w:rPr>
          <w:rFonts w:hint="eastAsia" w:ascii="Arial" w:hAnsi="Arial" w:cs="Arial"/>
          <w:lang w:val="en-US" w:eastAsia="zh-CN"/>
        </w:rPr>
        <w:t>207</w:t>
      </w:r>
    </w:p>
    <w:p>
      <w:pPr>
        <w:numPr>
          <w:ilvl w:val="0"/>
          <w:numId w:val="0"/>
        </w:numPr>
        <w:rPr>
          <w:rFonts w:hint="eastAsia"/>
          <w:lang w:val="en-US" w:eastAsia="zh-CN"/>
        </w:rPr>
      </w:pPr>
      <w:r>
        <w:rPr>
          <w:rFonts w:hint="eastAsia"/>
          <w:lang w:val="en-US" w:eastAsia="zh-CN"/>
        </w:rPr>
        <w:t xml:space="preserve">    二、调整专业设置，提高教学质量</w:t>
      </w:r>
      <w:r>
        <w:rPr>
          <w:rFonts w:hint="default" w:ascii="Arial" w:hAnsi="Arial" w:cs="Arial"/>
        </w:rPr>
        <w:t>…………………………………………………………………………</w:t>
      </w:r>
      <w:r>
        <w:rPr>
          <w:rFonts w:hint="eastAsia" w:ascii="Arial" w:hAnsi="Arial" w:cs="Arial"/>
          <w:lang w:val="en-US" w:eastAsia="zh-CN"/>
        </w:rPr>
        <w:t>209</w:t>
      </w:r>
    </w:p>
    <w:p>
      <w:pPr>
        <w:numPr>
          <w:ilvl w:val="0"/>
          <w:numId w:val="0"/>
        </w:numPr>
        <w:rPr>
          <w:rFonts w:hint="eastAsia"/>
          <w:lang w:val="en-US" w:eastAsia="zh-CN"/>
        </w:rPr>
      </w:pPr>
      <w:r>
        <w:rPr>
          <w:rFonts w:hint="eastAsia"/>
          <w:lang w:val="en-US" w:eastAsia="zh-CN"/>
        </w:rPr>
        <w:t xml:space="preserve">    三、重视实践教学，创业带动就业</w:t>
      </w:r>
      <w:r>
        <w:rPr>
          <w:rFonts w:hint="default" w:ascii="Arial" w:hAnsi="Arial" w:cs="Arial"/>
        </w:rPr>
        <w:t>…………………………………………………………………………</w:t>
      </w:r>
      <w:r>
        <w:rPr>
          <w:rFonts w:hint="eastAsia" w:ascii="Arial" w:hAnsi="Arial" w:cs="Arial"/>
          <w:lang w:val="en-US" w:eastAsia="zh-CN"/>
        </w:rPr>
        <w:t>210</w:t>
      </w:r>
    </w:p>
    <w:p>
      <w:pPr>
        <w:pStyle w:val="24"/>
        <w:ind w:left="0" w:leftChars="0" w:firstLine="0" w:firstLineChars="0"/>
        <w:rPr>
          <w:b w:val="0"/>
          <w:bCs/>
          <w:smallCaps w:val="0"/>
          <w:szCs w:val="22"/>
        </w:rPr>
      </w:pPr>
      <w:r>
        <w:rPr>
          <w:b w:val="0"/>
          <w:bCs/>
        </w:rPr>
        <w:fldChar w:fldCharType="begin"/>
      </w:r>
      <w:r>
        <w:rPr>
          <w:b w:val="0"/>
          <w:bCs/>
        </w:rPr>
        <w:instrText xml:space="preserve"> HYPERLINK \l "_Toc470167460" </w:instrText>
      </w:r>
      <w:r>
        <w:rPr>
          <w:b w:val="0"/>
          <w:bCs/>
        </w:rPr>
        <w:fldChar w:fldCharType="separate"/>
      </w:r>
      <w:r>
        <w:rPr>
          <w:rStyle w:val="30"/>
          <w:rFonts w:hint="eastAsia"/>
          <w:b w:val="0"/>
          <w:bCs/>
        </w:rPr>
        <w:t>附录</w:t>
      </w:r>
      <w:r>
        <w:rPr>
          <w:b w:val="0"/>
          <w:bCs/>
        </w:rPr>
        <w:tab/>
      </w:r>
      <w:r>
        <w:rPr>
          <w:rFonts w:hint="eastAsia"/>
          <w:b w:val="0"/>
          <w:bCs/>
          <w:lang w:val="en-US" w:eastAsia="zh-CN"/>
        </w:rPr>
        <w:t>2</w:t>
      </w:r>
      <w:r>
        <w:rPr>
          <w:b w:val="0"/>
          <w:bCs/>
        </w:rPr>
        <w:fldChar w:fldCharType="end"/>
      </w:r>
      <w:r>
        <w:rPr>
          <w:rFonts w:hint="eastAsia"/>
          <w:b w:val="0"/>
          <w:bCs/>
          <w:lang w:val="en-US" w:eastAsia="zh-CN"/>
        </w:rPr>
        <w:t>12</w:t>
      </w:r>
    </w:p>
    <w:p>
      <w:r>
        <w:fldChar w:fldCharType="end"/>
      </w:r>
    </w:p>
    <w:p>
      <w:pPr>
        <w:sectPr>
          <w:footerReference r:id="rId4" w:type="default"/>
          <w:footerReference r:id="rId5" w:type="even"/>
          <w:type w:val="oddPage"/>
          <w:pgSz w:w="11906" w:h="16838"/>
          <w:pgMar w:top="1418" w:right="1134" w:bottom="1418" w:left="1134" w:header="851" w:footer="992" w:gutter="0"/>
          <w:pgNumType w:fmt="lowerRoman" w:start="1"/>
          <w:cols w:space="425" w:num="1"/>
          <w:docGrid w:type="lines" w:linePitch="312" w:charSpace="0"/>
        </w:sectPr>
      </w:pPr>
    </w:p>
    <w:p>
      <w:pPr>
        <w:pStyle w:val="40"/>
        <w:spacing w:before="624" w:after="936"/>
      </w:pPr>
      <w:r>
        <w:pict>
          <v:rect id="矩形 2" o:spid="_x0000_s1027" o:spt="1" style="position:absolute;left:0pt;margin-left:-62.7pt;margin-top:65.25pt;height:4.5pt;width:604.5pt;z-index:251658240;mso-width-relative:page;mso-height-relative:page;" fillcolor="#E36C0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">
            <v:path/>
            <v:fill type="gradient" on="t" color2="#E7822F" opacity="0f" angle="90" focus="100%" focussize="0f,0f" rotate="t"/>
            <v:stroke on="f"/>
            <v:imagedata o:title=""/>
            <o:lock v:ext="edit"/>
          </v:rect>
        </w:pict>
      </w:r>
      <w:bookmarkStart w:id="0" w:name="_Toc373928893"/>
      <w:bookmarkStart w:id="1" w:name="_Toc470167325"/>
      <w:bookmarkStart w:id="2" w:name="_Toc435125864"/>
      <w:r>
        <w:rPr>
          <w:rFonts w:hint="eastAsia"/>
        </w:rPr>
        <w:t>第一章　</w:t>
      </w:r>
      <w:bookmarkEnd w:id="0"/>
      <w:r>
        <w:rPr>
          <w:rFonts w:hint="eastAsia"/>
        </w:rPr>
        <w:t>背景与概况</w:t>
      </w:r>
      <w:bookmarkEnd w:id="1"/>
      <w:bookmarkEnd w:id="2"/>
    </w:p>
    <w:p>
      <w:pPr>
        <w:pStyle w:val="43"/>
        <w:spacing w:before="312" w:after="156"/>
      </w:pPr>
      <w:bookmarkStart w:id="3" w:name="_Toc435125865"/>
      <w:bookmarkStart w:id="4" w:name="_Toc470167326"/>
      <w:r>
        <w:rPr>
          <w:rFonts w:hint="eastAsia"/>
        </w:rPr>
        <w:t>一、背景</w:t>
      </w:r>
      <w:bookmarkEnd w:id="3"/>
      <w:bookmarkEnd w:id="4"/>
    </w:p>
    <w:p>
      <w:pPr>
        <w:pStyle w:val="37"/>
        <w:ind w:firstLine="480"/>
        <w:rPr>
          <w:rFonts w:hint="eastAsia"/>
          <w:kern w:val="0"/>
        </w:rPr>
      </w:pPr>
      <w:r>
        <w:rPr>
          <w:rFonts w:hint="eastAsia"/>
          <w:kern w:val="0"/>
        </w:rPr>
        <w:t>中央戏剧学院自2013 年起编制毕业生就业质量年度报告，力求客观反映学院毕业生就业的基本情况和主要特点，通过综合分析，预测发展趋势，为改善教育教学工作提供可靠依据。</w:t>
      </w:r>
    </w:p>
    <w:p>
      <w:pPr>
        <w:pStyle w:val="37"/>
        <w:ind w:firstLine="480"/>
        <w:rPr>
          <w:rFonts w:hint="eastAsia"/>
          <w:kern w:val="0"/>
        </w:rPr>
      </w:pPr>
      <w:r>
        <w:rPr>
          <w:rFonts w:hint="eastAsia"/>
          <w:kern w:val="0"/>
        </w:rPr>
        <w:t>为更加全面、客观、深入的反映毕业生的就业质量和创新创业能力，就业指导和服务的工作水平，就业指导中心引入北京高校毕业生就业指导中心作为第三方评价机构，委托其开展毕业生问卷调查并进行数据分析和效果评价。</w:t>
      </w:r>
    </w:p>
    <w:p>
      <w:pPr>
        <w:pStyle w:val="37"/>
        <w:ind w:firstLine="480"/>
        <w:rPr>
          <w:kern w:val="0"/>
        </w:rPr>
      </w:pPr>
      <w:r>
        <w:rPr>
          <w:kern w:val="0"/>
        </w:rPr>
        <w:t>北京高校毕业生就业指导中心</w:t>
      </w:r>
      <w:r>
        <w:rPr>
          <w:rFonts w:hint="eastAsia"/>
          <w:kern w:val="0"/>
          <w:lang w:eastAsia="zh-CN"/>
        </w:rPr>
        <w:t>从</w:t>
      </w:r>
      <w:r>
        <w:rPr>
          <w:rFonts w:hint="eastAsia"/>
          <w:kern w:val="0"/>
        </w:rPr>
        <w:t>3</w:t>
      </w:r>
      <w:r>
        <w:rPr>
          <w:kern w:val="0"/>
        </w:rPr>
        <w:t>月开始进行毕业生就业质量调查研究工作。为了让调查研究工作能够充分反映毕业生当年就业质量状况，回应社会和高校关注，</w:t>
      </w:r>
      <w:r>
        <w:rPr>
          <w:rFonts w:hint="eastAsia"/>
          <w:kern w:val="0"/>
        </w:rPr>
        <w:t>4</w:t>
      </w:r>
      <w:r>
        <w:rPr>
          <w:kern w:val="0"/>
        </w:rPr>
        <w:t>月，</w:t>
      </w:r>
      <w:r>
        <w:rPr>
          <w:rFonts w:hint="eastAsia"/>
          <w:kern w:val="0"/>
        </w:rPr>
        <w:t>全面调整</w:t>
      </w:r>
      <w:r>
        <w:rPr>
          <w:kern w:val="0"/>
        </w:rPr>
        <w:t>了毕业生调查问卷中的相关内容；6月及11月，分别完成毕业生及用人单位调研工作；12月，在对调研数据进行科学细致地统计分析基础上，形成学校就业质量年度报告。</w:t>
      </w:r>
    </w:p>
    <w:p>
      <w:pPr>
        <w:pStyle w:val="37"/>
        <w:ind w:firstLine="480"/>
        <w:rPr>
          <w:rFonts w:hint="eastAsia"/>
          <w:kern w:val="0"/>
        </w:rPr>
      </w:pPr>
      <w:r>
        <w:rPr>
          <w:rFonts w:hint="eastAsia"/>
          <w:kern w:val="0"/>
        </w:rPr>
        <w:t>调查问卷包括毕业生基本情况、教育培养与就业服务、求职过程、就业结果和自主创业五个部分，不同去向的毕业生分别回答问卷中不同部分的题目。去除无效问卷，最终有效问卷为299份，占毕业生总数的52.5%。使用SPSS20.0统计分析软件，运用了频率分析、交叉分析、方差分析等方法。</w:t>
      </w:r>
    </w:p>
    <w:p>
      <w:pPr>
        <w:pStyle w:val="43"/>
        <w:spacing w:before="312" w:after="156"/>
      </w:pPr>
      <w:bookmarkStart w:id="5" w:name="_Toc470167327"/>
      <w:r>
        <w:t>二、概况</w:t>
      </w:r>
      <w:bookmarkEnd w:id="5"/>
    </w:p>
    <w:p>
      <w:pPr>
        <w:pStyle w:val="37"/>
        <w:ind w:firstLine="480"/>
        <w:rPr>
          <w:rFonts w:hint="eastAsia"/>
          <w:kern w:val="0"/>
          <w:lang w:eastAsia="zh-CN"/>
        </w:rPr>
      </w:pPr>
      <w:r>
        <w:rPr>
          <w:kern w:val="0"/>
        </w:rPr>
        <w:t>本报告通过对学校201</w:t>
      </w:r>
      <w:r>
        <w:rPr>
          <w:rFonts w:hint="eastAsia"/>
          <w:kern w:val="0"/>
        </w:rPr>
        <w:t>6</w:t>
      </w:r>
      <w:r>
        <w:rPr>
          <w:kern w:val="0"/>
        </w:rPr>
        <w:t>届毕业生和用人单位调查数据的统计分析，全面描述了学校毕业生的就业、创业状况以及毕业生和用人单位对学校教育教学和就业服务工作的反馈意见。</w:t>
      </w:r>
      <w:r>
        <w:rPr>
          <w:kern w:val="0"/>
        </w:rPr>
        <w:br w:type="textWrapping"/>
      </w:r>
      <w:r>
        <w:rPr>
          <w:rFonts w:hint="eastAsia"/>
          <w:kern w:val="0"/>
        </w:rPr>
        <w:t xml:space="preserve">    </w:t>
      </w:r>
      <w:r>
        <w:rPr>
          <w:kern w:val="0"/>
        </w:rPr>
        <w:t>报告主要内容为：</w:t>
      </w:r>
      <w:r>
        <w:rPr>
          <w:kern w:val="0"/>
        </w:rPr>
        <w:br w:type="textWrapping"/>
      </w:r>
      <w:r>
        <w:rPr>
          <w:rFonts w:hint="eastAsia"/>
          <w:kern w:val="0"/>
        </w:rPr>
        <w:t xml:space="preserve">    </w:t>
      </w:r>
      <w:r>
        <w:rPr>
          <w:kern w:val="0"/>
        </w:rPr>
        <w:t>第一章，介绍本次调查研究工作的背景和报告概况。</w:t>
      </w:r>
      <w:r>
        <w:rPr>
          <w:kern w:val="0"/>
        </w:rPr>
        <w:br w:type="textWrapping"/>
      </w:r>
      <w:r>
        <w:rPr>
          <w:rFonts w:hint="eastAsia"/>
          <w:kern w:val="0"/>
        </w:rPr>
        <w:t xml:space="preserve">    </w:t>
      </w:r>
      <w:r>
        <w:rPr>
          <w:kern w:val="0"/>
        </w:rPr>
        <w:t>第二章，毕业生基本情况与毕业去向。</w:t>
      </w:r>
      <w:r>
        <w:rPr>
          <w:kern w:val="0"/>
        </w:rPr>
        <w:br w:type="textWrapping"/>
      </w:r>
      <w:r>
        <w:rPr>
          <w:rFonts w:hint="eastAsia"/>
          <w:kern w:val="0"/>
        </w:rPr>
        <w:t xml:space="preserve">    </w:t>
      </w:r>
      <w:r>
        <w:rPr>
          <w:kern w:val="0"/>
        </w:rPr>
        <w:t>（本章数据来源于学校201</w:t>
      </w:r>
      <w:r>
        <w:rPr>
          <w:rFonts w:hint="eastAsia"/>
          <w:kern w:val="0"/>
        </w:rPr>
        <w:t>6</w:t>
      </w:r>
      <w:r>
        <w:rPr>
          <w:kern w:val="0"/>
        </w:rPr>
        <w:t>届毕业生就业派遣库，截止201</w:t>
      </w:r>
      <w:r>
        <w:rPr>
          <w:rFonts w:hint="eastAsia"/>
          <w:kern w:val="0"/>
        </w:rPr>
        <w:t>6</w:t>
      </w:r>
      <w:r>
        <w:rPr>
          <w:kern w:val="0"/>
        </w:rPr>
        <w:t>年10月31日。）</w:t>
      </w:r>
      <w:r>
        <w:rPr>
          <w:kern w:val="0"/>
        </w:rPr>
        <w:br w:type="textWrapping"/>
      </w:r>
      <w:r>
        <w:rPr>
          <w:rFonts w:hint="eastAsia"/>
          <w:kern w:val="0"/>
        </w:rPr>
        <w:t xml:space="preserve">    </w:t>
      </w:r>
      <w:r>
        <w:rPr>
          <w:kern w:val="0"/>
        </w:rPr>
        <w:t>第三章，毕业生调查数据分析。</w:t>
      </w:r>
      <w:r>
        <w:rPr>
          <w:kern w:val="0"/>
        </w:rPr>
        <w:br w:type="textWrapping"/>
      </w:r>
      <w:r>
        <w:rPr>
          <w:rFonts w:hint="eastAsia"/>
          <w:kern w:val="0"/>
        </w:rPr>
        <w:t xml:space="preserve">    </w:t>
      </w:r>
      <w:r>
        <w:rPr>
          <w:kern w:val="0"/>
        </w:rPr>
        <w:t>（本章数据来源于学校201</w:t>
      </w:r>
      <w:r>
        <w:rPr>
          <w:rFonts w:hint="eastAsia"/>
          <w:kern w:val="0"/>
        </w:rPr>
        <w:t>6</w:t>
      </w:r>
      <w:r>
        <w:rPr>
          <w:kern w:val="0"/>
        </w:rPr>
        <w:t>届毕业生就业状况调查，201</w:t>
      </w:r>
      <w:r>
        <w:rPr>
          <w:rFonts w:hint="eastAsia"/>
          <w:kern w:val="0"/>
        </w:rPr>
        <w:t>6</w:t>
      </w:r>
      <w:r>
        <w:rPr>
          <w:kern w:val="0"/>
        </w:rPr>
        <w:t>年</w:t>
      </w:r>
      <w:r>
        <w:rPr>
          <w:rFonts w:hint="eastAsia"/>
          <w:kern w:val="0"/>
        </w:rPr>
        <w:t>4</w:t>
      </w:r>
      <w:r>
        <w:rPr>
          <w:kern w:val="0"/>
        </w:rPr>
        <w:t>月进行。）</w:t>
      </w:r>
      <w:r>
        <w:rPr>
          <w:kern w:val="0"/>
        </w:rPr>
        <w:br w:type="textWrapping"/>
      </w:r>
      <w:r>
        <w:rPr>
          <w:rFonts w:hint="eastAsia"/>
          <w:kern w:val="0"/>
        </w:rPr>
        <w:t xml:space="preserve">    </w:t>
      </w:r>
      <w:r>
        <w:rPr>
          <w:kern w:val="0"/>
        </w:rPr>
        <w:t>第四章，用人单位调查数据分析。</w:t>
      </w:r>
      <w:r>
        <w:rPr>
          <w:kern w:val="0"/>
        </w:rPr>
        <w:br w:type="textWrapping"/>
      </w:r>
      <w:r>
        <w:rPr>
          <w:rFonts w:hint="eastAsia"/>
          <w:kern w:val="0"/>
        </w:rPr>
        <w:t xml:space="preserve">    </w:t>
      </w:r>
      <w:r>
        <w:rPr>
          <w:kern w:val="0"/>
        </w:rPr>
        <w:t>（本章数据来源于学校201</w:t>
      </w:r>
      <w:r>
        <w:rPr>
          <w:rFonts w:hint="eastAsia"/>
          <w:kern w:val="0"/>
        </w:rPr>
        <w:t>6</w:t>
      </w:r>
      <w:r>
        <w:rPr>
          <w:kern w:val="0"/>
        </w:rPr>
        <w:t>年用人单位调查，201</w:t>
      </w:r>
      <w:r>
        <w:rPr>
          <w:rFonts w:hint="eastAsia"/>
          <w:kern w:val="0"/>
        </w:rPr>
        <w:t>6</w:t>
      </w:r>
      <w:r>
        <w:rPr>
          <w:kern w:val="0"/>
        </w:rPr>
        <w:t>年10月进行。）</w:t>
      </w:r>
      <w:r>
        <w:rPr>
          <w:kern w:val="0"/>
        </w:rPr>
        <w:br w:type="textWrapping"/>
      </w:r>
      <w:r>
        <w:rPr>
          <w:rFonts w:hint="eastAsia"/>
          <w:kern w:val="0"/>
        </w:rPr>
        <w:t xml:space="preserve">    </w:t>
      </w:r>
      <w:r>
        <w:rPr>
          <w:kern w:val="0"/>
        </w:rPr>
        <w:t>第五章，</w:t>
      </w:r>
      <w:r>
        <w:rPr>
          <w:rFonts w:hint="eastAsia"/>
          <w:kern w:val="0"/>
          <w:lang w:eastAsia="zh-CN"/>
        </w:rPr>
        <w:t>就业创业指导与服务。</w:t>
      </w:r>
    </w:p>
    <w:p>
      <w:pPr>
        <w:pStyle w:val="37"/>
        <w:numPr>
          <w:ilvl w:val="0"/>
          <w:numId w:val="4"/>
        </w:numPr>
        <w:ind w:firstLine="480"/>
        <w:rPr>
          <w:rFonts w:hint="eastAsia"/>
          <w:kern w:val="0"/>
          <w:lang w:eastAsia="zh-CN"/>
        </w:rPr>
      </w:pPr>
      <w:r>
        <w:rPr>
          <w:rFonts w:hint="eastAsia"/>
          <w:kern w:val="0"/>
          <w:lang w:eastAsia="zh-CN"/>
        </w:rPr>
        <w:t>，就业形势研判。</w:t>
      </w:r>
    </w:p>
    <w:p>
      <w:pPr>
        <w:pStyle w:val="37"/>
        <w:numPr>
          <w:ilvl w:val="0"/>
          <w:numId w:val="4"/>
        </w:numPr>
        <w:ind w:firstLine="480"/>
        <w:rPr>
          <w:kern w:val="0"/>
        </w:rPr>
      </w:pPr>
      <w:r>
        <w:rPr>
          <w:rFonts w:hint="eastAsia"/>
          <w:kern w:val="0"/>
          <w:lang w:eastAsia="zh-CN"/>
        </w:rPr>
        <w:t>，对教育教学的反馈。</w:t>
      </w:r>
      <w:r>
        <w:rPr>
          <w:kern w:val="0"/>
        </w:rPr>
        <w:br w:type="textWrapping"/>
      </w:r>
      <w:r>
        <w:rPr>
          <w:rFonts w:hint="eastAsia"/>
          <w:kern w:val="0"/>
        </w:rPr>
        <w:t xml:space="preserve">    </w:t>
      </w:r>
      <w:r>
        <w:rPr>
          <w:kern w:val="0"/>
        </w:rPr>
        <w:t>通过本报告，我们将全面掌握学校201</w:t>
      </w:r>
      <w:r>
        <w:rPr>
          <w:rFonts w:hint="eastAsia"/>
          <w:kern w:val="0"/>
        </w:rPr>
        <w:t>6</w:t>
      </w:r>
      <w:r>
        <w:rPr>
          <w:kern w:val="0"/>
        </w:rPr>
        <w:t>届毕业生毕业去向分布状况；了解201</w:t>
      </w:r>
      <w:r>
        <w:rPr>
          <w:rFonts w:hint="eastAsia"/>
          <w:kern w:val="0"/>
        </w:rPr>
        <w:t>6</w:t>
      </w:r>
      <w:r>
        <w:rPr>
          <w:kern w:val="0"/>
        </w:rPr>
        <w:t>届毕业生对学校就业服务与人才培养的评价意见；了解201</w:t>
      </w:r>
      <w:r>
        <w:rPr>
          <w:rFonts w:hint="eastAsia"/>
          <w:kern w:val="0"/>
        </w:rPr>
        <w:t>6</w:t>
      </w:r>
      <w:r>
        <w:rPr>
          <w:kern w:val="0"/>
        </w:rPr>
        <w:t>届毕业生的求职过程与求职结果；了解用人单位对毕业生的数量需求情况；了解用人单位对毕业生的职业能力与职业素养评价；了解用人单位对学校的人才培养与就业服务工作的评价</w:t>
      </w:r>
      <w:r>
        <w:rPr>
          <w:rFonts w:hint="eastAsia"/>
          <w:kern w:val="0"/>
          <w:lang w:eastAsia="zh-CN"/>
        </w:rPr>
        <w:t>；了解当前面对的就业形势；了解毕业生就业对教育教学质量的反馈。</w:t>
      </w:r>
    </w:p>
    <w:p>
      <w:pPr>
        <w:widowControl/>
        <w:jc w:val="left"/>
        <w:rPr>
          <w:rFonts w:ascii="Times New Roman" w:hAnsi="Times New Roman" w:eastAsia="宋体"/>
          <w:sz w:val="24"/>
          <w:szCs w:val="24"/>
        </w:rPr>
      </w:pPr>
    </w:p>
    <w:p>
      <w:pPr>
        <w:rPr>
          <w:rFonts w:ascii="Times New Roman" w:hAnsi="Times New Roman" w:eastAsia="宋体"/>
          <w:sz w:val="24"/>
          <w:szCs w:val="24"/>
        </w:rPr>
        <w:sectPr>
          <w:footerReference r:id="rId6" w:type="default"/>
          <w:footerReference r:id="rId7" w:type="even"/>
          <w:pgSz w:w="11906" w:h="16838"/>
          <w:pgMar w:top="1418" w:right="1134" w:bottom="1418" w:left="1134" w:header="851" w:footer="857" w:gutter="0"/>
          <w:cols w:space="425" w:num="1"/>
          <w:docGrid w:type="lines" w:linePitch="312" w:charSpace="0"/>
        </w:sectPr>
      </w:pPr>
    </w:p>
    <w:p>
      <w:pPr>
        <w:pStyle w:val="40"/>
        <w:spacing w:before="624" w:after="936"/>
      </w:pPr>
      <w:bookmarkStart w:id="6" w:name="_Toc406677037"/>
      <w:r>
        <w:pict>
          <v:rect id="_x0000_s1031" o:spid="_x0000_s1031" o:spt="1" style="position:absolute;left:0pt;margin-left:0.7pt;margin-top:68.2pt;height:4.5pt;width:481.5pt;z-index:251664384;mso-width-relative:page;mso-height-relative:page;" fillcolor="#E36C0A" filled="t" stroked="f" coordsize="21600,21600">
            <v:path/>
            <v:fill type="gradient" on="t" color2="#E7822F" opacity="0f" angle="90" focus="100%" focussize="0f,0f" rotate="t"/>
            <v:stroke on="f"/>
            <v:imagedata o:title=""/>
            <o:lock v:ext="edit"/>
          </v:rect>
        </w:pict>
      </w:r>
      <w:r>
        <w:rPr>
          <w:rFonts w:hint="eastAsia"/>
        </w:rPr>
        <w:t>第二章　毕业生基本情况与毕业去向</w:t>
      </w:r>
      <w:bookmarkEnd w:id="6"/>
    </w:p>
    <w:p>
      <w:pPr>
        <w:pStyle w:val="37"/>
        <w:ind w:firstLine="480"/>
        <w:rPr>
          <w:kern w:val="0"/>
        </w:rPr>
      </w:pPr>
      <w:r>
        <w:rPr>
          <w:rFonts w:hint="eastAsia"/>
        </w:rPr>
        <w:t>为全面、客观、真实反映本校2016届毕业生的基本情况与毕业去向，本章所有数据来源于本校2016届毕业生就业派遣数据库（截至2016年10月31日）。</w:t>
      </w:r>
    </w:p>
    <w:p>
      <w:pPr>
        <w:pStyle w:val="43"/>
        <w:spacing w:before="312" w:after="156"/>
      </w:pPr>
      <w:bookmarkStart w:id="7" w:name="_Toc406677038"/>
      <w:r>
        <w:rPr>
          <w:rFonts w:hint="eastAsia"/>
        </w:rPr>
        <w:t>一、毕业生规模与结构</w:t>
      </w:r>
      <w:bookmarkEnd w:id="7"/>
      <w:bookmarkStart w:id="8" w:name="_Toc406677039"/>
    </w:p>
    <w:p>
      <w:pPr>
        <w:pStyle w:val="37"/>
        <w:ind w:firstLine="480"/>
      </w:pPr>
      <w:bookmarkStart w:id="9" w:name="PO_211"/>
      <w:bookmarkEnd w:id="9"/>
      <w:r>
        <w:rPr>
          <w:rFonts w:hint="eastAsia"/>
        </w:rPr>
        <w:t>本校2016届毕业生总数为570人，在性别、生源地区和学历层次方面的分布如下表所示，男生221人，占38.8%，女生349人，占61.2%；北京生源64人，占11.2%，京外生源506人，占88.8%；专科生96人，占16.8%，本科生348人，占61.1%，研究生126人，占22.1%。</w:t>
      </w:r>
    </w:p>
    <w:p>
      <w:pPr>
        <w:pStyle w:val="53"/>
        <w:spacing w:before="312" w:after="156"/>
      </w:pPr>
      <w:r>
        <w:rPr>
          <w:rFonts w:hint="eastAsia"/>
        </w:rPr>
        <w:t>毕业生性别、生源地区与学历层次分布</w:t>
      </w:r>
    </w:p>
    <w:tbl>
      <w:tblPr>
        <w:tblStyle w:val="33"/>
        <w:tblW w:w="3332"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1056"/>
        <w:gridCol w:w="63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tcBorders>
              <w:bottom w:val="single" w:color="00B050" w:sz="8" w:space="0"/>
              <w:right w:val="dotted" w:color="00B050" w:sz="8" w:space="0"/>
            </w:tcBorders>
            <w:shd w:val="clear" w:color="auto" w:fill="auto"/>
            <w:vAlign w:val="center"/>
          </w:tcPr>
          <w:p>
            <w:pPr>
              <w:pStyle w:val="52"/>
              <w:ind w:firstLine="480"/>
              <w:jc w:val="center"/>
              <w:rPr>
                <w:kern w:val="0"/>
              </w:rPr>
            </w:pPr>
          </w:p>
        </w:tc>
        <w:tc>
          <w:tcPr>
            <w:tcW w:w="1056" w:type="dxa"/>
            <w:tcBorders>
              <w:left w:val="dotted" w:color="00B050" w:sz="8" w:space="0"/>
              <w:bottom w:val="single" w:color="00B050" w:sz="8" w:space="0"/>
            </w:tcBorders>
            <w:shd w:val="clear" w:color="auto" w:fill="auto"/>
            <w:vAlign w:val="center"/>
          </w:tcPr>
          <w:p>
            <w:pPr>
              <w:pStyle w:val="52"/>
              <w:jc w:val="center"/>
              <w:rPr>
                <w:kern w:val="0"/>
              </w:rPr>
            </w:pPr>
          </w:p>
        </w:tc>
        <w:tc>
          <w:tcPr>
            <w:tcW w:w="636" w:type="dxa"/>
            <w:shd w:val="clear" w:color="auto" w:fill="auto"/>
            <w:vAlign w:val="center"/>
          </w:tcPr>
          <w:p>
            <w:pPr>
              <w:pStyle w:val="52"/>
              <w:jc w:val="center"/>
              <w:rPr>
                <w:kern w:val="0"/>
              </w:rPr>
            </w:pPr>
            <w:r>
              <w:rPr>
                <w:rFonts w:hint="eastAsia"/>
                <w:kern w:val="0"/>
              </w:rPr>
              <w:t>人数</w:t>
            </w:r>
          </w:p>
        </w:tc>
        <w:tc>
          <w:tcPr>
            <w:tcW w:w="584" w:type="dxa"/>
            <w:shd w:val="clear" w:color="auto" w:fill="auto"/>
            <w:vAlign w:val="center"/>
          </w:tcPr>
          <w:p>
            <w:pPr>
              <w:pStyle w:val="52"/>
              <w:jc w:val="center"/>
              <w:rPr>
                <w:kern w:val="0"/>
              </w:rPr>
            </w:pPr>
            <w:r>
              <w:rPr>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tcBorders>
              <w:top w:val="single" w:color="00B050" w:sz="8" w:space="0"/>
            </w:tcBorders>
            <w:shd w:val="clear" w:color="auto" w:fill="auto"/>
            <w:vAlign w:val="center"/>
          </w:tcPr>
          <w:p>
            <w:pPr>
              <w:pStyle w:val="52"/>
              <w:jc w:val="center"/>
              <w:rPr>
                <w:kern w:val="0"/>
              </w:rPr>
            </w:pPr>
            <w:r>
              <w:rPr>
                <w:rFonts w:hint="eastAsia"/>
                <w:kern w:val="0"/>
              </w:rPr>
              <w:t>性别</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男生</w:t>
            </w:r>
          </w:p>
        </w:tc>
        <w:tc>
          <w:tcPr>
            <w:tcW w:w="636" w:type="dxa"/>
            <w:shd w:val="clear" w:color="auto" w:fill="auto"/>
            <w:vAlign w:val="center"/>
          </w:tcPr>
          <w:p>
            <w:pPr>
              <w:pStyle w:val="52"/>
              <w:jc w:val="center"/>
              <w:rPr>
                <w:kern w:val="0"/>
              </w:rPr>
            </w:pPr>
            <w:r>
              <w:rPr>
                <w:kern w:val="0"/>
              </w:rPr>
              <w:t>221</w:t>
            </w:r>
          </w:p>
        </w:tc>
        <w:tc>
          <w:tcPr>
            <w:tcW w:w="584" w:type="dxa"/>
            <w:shd w:val="clear" w:color="auto" w:fill="auto"/>
            <w:vAlign w:val="center"/>
          </w:tcPr>
          <w:p>
            <w:pPr>
              <w:pStyle w:val="52"/>
              <w:jc w:val="center"/>
              <w:rPr>
                <w:kern w:val="0"/>
              </w:rPr>
            </w:pPr>
            <w:r>
              <w:rPr>
                <w:kern w:val="0"/>
              </w:rPr>
              <w:t>38.8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女生</w:t>
            </w:r>
          </w:p>
        </w:tc>
        <w:tc>
          <w:tcPr>
            <w:tcW w:w="636" w:type="dxa"/>
            <w:shd w:val="clear" w:color="auto" w:fill="auto"/>
            <w:vAlign w:val="center"/>
          </w:tcPr>
          <w:p>
            <w:pPr>
              <w:pStyle w:val="52"/>
              <w:jc w:val="center"/>
              <w:rPr>
                <w:kern w:val="0"/>
              </w:rPr>
            </w:pPr>
            <w:r>
              <w:rPr>
                <w:kern w:val="0"/>
              </w:rPr>
              <w:t>349</w:t>
            </w:r>
          </w:p>
        </w:tc>
        <w:tc>
          <w:tcPr>
            <w:tcW w:w="584" w:type="dxa"/>
            <w:shd w:val="clear" w:color="auto" w:fill="auto"/>
            <w:vAlign w:val="center"/>
          </w:tcPr>
          <w:p>
            <w:pPr>
              <w:pStyle w:val="52"/>
              <w:jc w:val="center"/>
              <w:rPr>
                <w:kern w:val="0"/>
              </w:rPr>
            </w:pPr>
            <w:r>
              <w:rPr>
                <w:kern w:val="0"/>
              </w:rPr>
              <w:t>61.2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shd w:val="clear" w:color="auto" w:fill="auto"/>
            <w:vAlign w:val="center"/>
          </w:tcPr>
          <w:p>
            <w:pPr>
              <w:pStyle w:val="52"/>
              <w:jc w:val="center"/>
              <w:rPr>
                <w:kern w:val="0"/>
              </w:rPr>
            </w:pPr>
            <w:r>
              <w:rPr>
                <w:rFonts w:hint="eastAsia"/>
                <w:kern w:val="0"/>
              </w:rPr>
              <w:t>生源地区</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北京生源</w:t>
            </w:r>
          </w:p>
        </w:tc>
        <w:tc>
          <w:tcPr>
            <w:tcW w:w="636" w:type="dxa"/>
            <w:shd w:val="clear" w:color="auto" w:fill="auto"/>
            <w:vAlign w:val="center"/>
          </w:tcPr>
          <w:p>
            <w:pPr>
              <w:pStyle w:val="52"/>
              <w:jc w:val="center"/>
              <w:rPr>
                <w:kern w:val="0"/>
              </w:rPr>
            </w:pPr>
            <w:r>
              <w:rPr>
                <w:kern w:val="0"/>
              </w:rPr>
              <w:t>64</w:t>
            </w:r>
          </w:p>
        </w:tc>
        <w:tc>
          <w:tcPr>
            <w:tcW w:w="584" w:type="dxa"/>
            <w:shd w:val="clear" w:color="auto" w:fill="auto"/>
            <w:vAlign w:val="center"/>
          </w:tcPr>
          <w:p>
            <w:pPr>
              <w:pStyle w:val="52"/>
              <w:jc w:val="center"/>
              <w:rPr>
                <w:kern w:val="0"/>
              </w:rPr>
            </w:pPr>
            <w:r>
              <w:rPr>
                <w:kern w:val="0"/>
              </w:rPr>
              <w:t>11.2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京外生源</w:t>
            </w:r>
          </w:p>
        </w:tc>
        <w:tc>
          <w:tcPr>
            <w:tcW w:w="636" w:type="dxa"/>
            <w:shd w:val="clear" w:color="auto" w:fill="auto"/>
            <w:vAlign w:val="center"/>
          </w:tcPr>
          <w:p>
            <w:pPr>
              <w:pStyle w:val="52"/>
              <w:jc w:val="center"/>
              <w:rPr>
                <w:kern w:val="0"/>
              </w:rPr>
            </w:pPr>
            <w:r>
              <w:rPr>
                <w:kern w:val="0"/>
              </w:rPr>
              <w:t>506</w:t>
            </w:r>
          </w:p>
        </w:tc>
        <w:tc>
          <w:tcPr>
            <w:tcW w:w="584" w:type="dxa"/>
            <w:shd w:val="clear" w:color="auto" w:fill="auto"/>
            <w:vAlign w:val="center"/>
          </w:tcPr>
          <w:p>
            <w:pPr>
              <w:pStyle w:val="52"/>
              <w:jc w:val="center"/>
              <w:rPr>
                <w:kern w:val="0"/>
              </w:rPr>
            </w:pPr>
            <w:r>
              <w:rPr>
                <w:kern w:val="0"/>
              </w:rPr>
              <w:t>88.8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shd w:val="clear" w:color="auto" w:fill="auto"/>
            <w:vAlign w:val="center"/>
          </w:tcPr>
          <w:p>
            <w:pPr>
              <w:pStyle w:val="52"/>
              <w:jc w:val="center"/>
              <w:rPr>
                <w:kern w:val="0"/>
              </w:rPr>
            </w:pPr>
            <w:r>
              <w:rPr>
                <w:rFonts w:hint="eastAsia"/>
                <w:kern w:val="0"/>
              </w:rPr>
              <w:t>学历层次</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专科生</w:t>
            </w:r>
          </w:p>
        </w:tc>
        <w:tc>
          <w:tcPr>
            <w:tcW w:w="636" w:type="dxa"/>
            <w:shd w:val="clear" w:color="auto" w:fill="auto"/>
            <w:vAlign w:val="center"/>
          </w:tcPr>
          <w:p>
            <w:pPr>
              <w:pStyle w:val="52"/>
              <w:jc w:val="center"/>
              <w:rPr>
                <w:kern w:val="0"/>
              </w:rPr>
            </w:pPr>
            <w:r>
              <w:rPr>
                <w:kern w:val="0"/>
              </w:rPr>
              <w:t>96</w:t>
            </w:r>
          </w:p>
        </w:tc>
        <w:tc>
          <w:tcPr>
            <w:tcW w:w="584" w:type="dxa"/>
            <w:shd w:val="clear" w:color="auto" w:fill="auto"/>
            <w:vAlign w:val="center"/>
          </w:tcPr>
          <w:p>
            <w:pPr>
              <w:pStyle w:val="52"/>
              <w:jc w:val="center"/>
              <w:rPr>
                <w:kern w:val="0"/>
              </w:rPr>
            </w:pPr>
            <w:r>
              <w:rPr>
                <w:kern w:val="0"/>
              </w:rPr>
              <w:t>16.8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本科生</w:t>
            </w:r>
          </w:p>
        </w:tc>
        <w:tc>
          <w:tcPr>
            <w:tcW w:w="636" w:type="dxa"/>
            <w:shd w:val="clear" w:color="auto" w:fill="auto"/>
            <w:vAlign w:val="center"/>
          </w:tcPr>
          <w:p>
            <w:pPr>
              <w:pStyle w:val="52"/>
              <w:jc w:val="center"/>
              <w:rPr>
                <w:kern w:val="0"/>
              </w:rPr>
            </w:pPr>
            <w:r>
              <w:rPr>
                <w:kern w:val="0"/>
              </w:rPr>
              <w:t>348</w:t>
            </w:r>
          </w:p>
        </w:tc>
        <w:tc>
          <w:tcPr>
            <w:tcW w:w="584" w:type="dxa"/>
            <w:shd w:val="clear" w:color="auto" w:fill="auto"/>
            <w:vAlign w:val="center"/>
          </w:tcPr>
          <w:p>
            <w:pPr>
              <w:pStyle w:val="52"/>
              <w:jc w:val="center"/>
              <w:rPr>
                <w:kern w:val="0"/>
              </w:rPr>
            </w:pPr>
            <w:r>
              <w:rPr>
                <w:kern w:val="0"/>
              </w:rPr>
              <w:t>61.1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tcBorders>
            <w:shd w:val="clear" w:color="auto" w:fill="auto"/>
            <w:vAlign w:val="center"/>
          </w:tcPr>
          <w:p>
            <w:pPr>
              <w:pStyle w:val="52"/>
              <w:rPr>
                <w:kern w:val="0"/>
              </w:rPr>
            </w:pPr>
            <w:r>
              <w:rPr>
                <w:rFonts w:hint="eastAsia"/>
                <w:kern w:val="0"/>
              </w:rPr>
              <w:t>研究生</w:t>
            </w:r>
          </w:p>
        </w:tc>
        <w:tc>
          <w:tcPr>
            <w:tcW w:w="636" w:type="dxa"/>
            <w:shd w:val="clear" w:color="auto" w:fill="auto"/>
            <w:vAlign w:val="center"/>
          </w:tcPr>
          <w:p>
            <w:pPr>
              <w:pStyle w:val="52"/>
              <w:jc w:val="center"/>
              <w:rPr>
                <w:kern w:val="0"/>
              </w:rPr>
            </w:pPr>
            <w:r>
              <w:rPr>
                <w:kern w:val="0"/>
              </w:rPr>
              <w:t>126</w:t>
            </w:r>
          </w:p>
        </w:tc>
        <w:tc>
          <w:tcPr>
            <w:tcW w:w="584" w:type="dxa"/>
            <w:shd w:val="clear" w:color="auto" w:fill="auto"/>
            <w:vAlign w:val="center"/>
          </w:tcPr>
          <w:p>
            <w:pPr>
              <w:pStyle w:val="52"/>
              <w:jc w:val="center"/>
              <w:rPr>
                <w:kern w:val="0"/>
              </w:rPr>
            </w:pPr>
            <w:r>
              <w:rPr>
                <w:kern w:val="0"/>
              </w:rPr>
              <w:t>22.1</w:t>
            </w:r>
          </w:p>
        </w:tc>
      </w:tr>
    </w:tbl>
    <w:p>
      <w:pPr>
        <w:pStyle w:val="52"/>
      </w:pPr>
    </w:p>
    <w:p>
      <w:pPr>
        <w:pStyle w:val="37"/>
        <w:ind w:firstLine="480"/>
      </w:pPr>
      <w:r>
        <w:rPr>
          <w:rFonts w:hint="eastAsia"/>
        </w:rPr>
        <w:t>就专业而言，毕业生人数最多的3个专业是表演、戏剧与影视学和戏剧，分别有96、65和46名毕业生。电视剧创作毕业生人数最少，只有14人。</w:t>
      </w:r>
    </w:p>
    <w:p>
      <w:pPr>
        <w:pStyle w:val="53"/>
        <w:spacing w:before="312" w:after="156"/>
      </w:pPr>
      <w:bookmarkStart w:id="10" w:name="PO_212"/>
      <w:bookmarkEnd w:id="10"/>
      <w:r>
        <w:rPr>
          <w:rFonts w:hint="eastAsia"/>
        </w:rPr>
        <w:t>毕业生院系与专业分布</w:t>
      </w:r>
    </w:p>
    <w:tbl>
      <w:tblPr>
        <w:tblStyle w:val="33"/>
        <w:tblW w:w="389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196"/>
        <w:gridCol w:w="1476"/>
        <w:gridCol w:w="636"/>
        <w:gridCol w:w="589"/>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170" w:hRule="atLeast"/>
          <w:jc w:val="center"/>
        </w:trPr>
        <w:tc>
          <w:tcPr>
            <w:tcW w:w="1196" w:type="dxa"/>
            <w:shd w:val="clear" w:color="auto" w:fill="auto"/>
            <w:vAlign w:val="center"/>
          </w:tcPr>
          <w:p>
            <w:pPr>
              <w:widowControl/>
              <w:jc w:val="center"/>
              <w:rPr>
                <w:color w:val="000000"/>
                <w:kern w:val="0"/>
                <w:szCs w:val="21"/>
              </w:rPr>
            </w:pPr>
            <w:r>
              <w:rPr>
                <w:rFonts w:hint="eastAsia" w:hAnsiTheme="minorEastAsia"/>
                <w:color w:val="000000"/>
                <w:kern w:val="0"/>
                <w:szCs w:val="21"/>
              </w:rPr>
              <w:t>学历层次</w:t>
            </w:r>
          </w:p>
        </w:tc>
        <w:tc>
          <w:tcPr>
            <w:tcW w:w="1476" w:type="dxa"/>
            <w:shd w:val="clear" w:color="auto" w:fill="auto"/>
            <w:vAlign w:val="center"/>
          </w:tcPr>
          <w:p>
            <w:pPr>
              <w:widowControl/>
              <w:jc w:val="center"/>
              <w:rPr>
                <w:color w:val="000000"/>
                <w:kern w:val="0"/>
                <w:szCs w:val="21"/>
              </w:rPr>
            </w:pPr>
            <w:r>
              <w:rPr>
                <w:rFonts w:hint="eastAsia" w:hAnsiTheme="minorEastAsia"/>
                <w:color w:val="000000"/>
                <w:kern w:val="0"/>
                <w:szCs w:val="21"/>
              </w:rPr>
              <w:t>专业</w:t>
            </w:r>
          </w:p>
        </w:tc>
        <w:tc>
          <w:tcPr>
            <w:tcW w:w="636" w:type="dxa"/>
            <w:shd w:val="clear" w:color="auto" w:fill="auto"/>
            <w:vAlign w:val="center"/>
          </w:tcPr>
          <w:p>
            <w:pPr>
              <w:widowControl/>
              <w:jc w:val="center"/>
              <w:rPr>
                <w:color w:val="000000"/>
                <w:kern w:val="0"/>
                <w:szCs w:val="21"/>
              </w:rPr>
            </w:pPr>
            <w:r>
              <w:rPr>
                <w:rFonts w:hint="eastAsia"/>
                <w:color w:val="000000"/>
                <w:kern w:val="0"/>
                <w:szCs w:val="21"/>
              </w:rPr>
              <w:t>人数</w:t>
            </w:r>
          </w:p>
        </w:tc>
        <w:tc>
          <w:tcPr>
            <w:tcW w:w="589" w:type="dxa"/>
            <w:shd w:val="clear" w:color="auto" w:fill="auto"/>
            <w:vAlign w:val="center"/>
          </w:tcPr>
          <w:p>
            <w:pPr>
              <w:widowControl/>
              <w:jc w:val="center"/>
              <w:rPr>
                <w:color w:val="000000"/>
                <w:kern w:val="0"/>
                <w:szCs w:val="21"/>
              </w:rPr>
            </w:pPr>
            <w:r>
              <w:rPr>
                <w:color w:val="000000"/>
                <w:kern w:val="0"/>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shd w:val="clear" w:color="auto" w:fill="auto"/>
            <w:vAlign w:val="center"/>
          </w:tcPr>
          <w:p>
            <w:pPr>
              <w:widowControl/>
              <w:jc w:val="center"/>
              <w:rPr>
                <w:rFonts w:hAnsiTheme="minorEastAsia"/>
                <w:color w:val="000000"/>
                <w:kern w:val="0"/>
                <w:szCs w:val="21"/>
              </w:rPr>
            </w:pPr>
            <w:r>
              <w:rPr>
                <w:rFonts w:hint="eastAsia" w:hAnsiTheme="minorEastAsia"/>
                <w:color w:val="000000"/>
                <w:kern w:val="0"/>
                <w:szCs w:val="21"/>
              </w:rPr>
              <w:t>专科生</w:t>
            </w: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表演</w:t>
            </w:r>
          </w:p>
        </w:tc>
        <w:tc>
          <w:tcPr>
            <w:tcW w:w="636" w:type="dxa"/>
            <w:shd w:val="clear" w:color="auto" w:fill="auto"/>
            <w:vAlign w:val="center"/>
          </w:tcPr>
          <w:p>
            <w:pPr>
              <w:widowControl/>
              <w:jc w:val="center"/>
              <w:rPr>
                <w:color w:val="000000"/>
                <w:kern w:val="0"/>
                <w:szCs w:val="21"/>
              </w:rPr>
            </w:pPr>
            <w:r>
              <w:rPr>
                <w:color w:val="000000"/>
                <w:kern w:val="0"/>
                <w:szCs w:val="21"/>
              </w:rPr>
              <w:t>96</w:t>
            </w:r>
          </w:p>
        </w:tc>
        <w:tc>
          <w:tcPr>
            <w:tcW w:w="589" w:type="dxa"/>
            <w:shd w:val="clear" w:color="auto" w:fill="auto"/>
            <w:vAlign w:val="center"/>
          </w:tcPr>
          <w:p>
            <w:pPr>
              <w:widowControl/>
              <w:jc w:val="center"/>
              <w:rPr>
                <w:kern w:val="0"/>
                <w:szCs w:val="21"/>
              </w:rPr>
            </w:pPr>
            <w:r>
              <w:rPr>
                <w:kern w:val="0"/>
                <w:szCs w:val="21"/>
              </w:rPr>
              <w:t>16.8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restart"/>
            <w:shd w:val="clear" w:color="auto" w:fill="auto"/>
            <w:vAlign w:val="center"/>
          </w:tcPr>
          <w:p>
            <w:pPr>
              <w:widowControl/>
              <w:jc w:val="center"/>
              <w:rPr>
                <w:rFonts w:hAnsiTheme="minorEastAsia"/>
                <w:color w:val="000000"/>
                <w:kern w:val="0"/>
                <w:szCs w:val="21"/>
              </w:rPr>
            </w:pPr>
            <w:r>
              <w:rPr>
                <w:rFonts w:hint="eastAsia" w:hAnsiTheme="minorEastAsia"/>
                <w:color w:val="000000"/>
                <w:kern w:val="0"/>
                <w:szCs w:val="21"/>
              </w:rPr>
              <w:t>本科生</w:t>
            </w:r>
          </w:p>
          <w:p>
            <w:pPr>
              <w:jc w:val="center"/>
              <w:rPr>
                <w:rFonts w:hAnsiTheme="minorEastAsia"/>
                <w:color w:val="000000"/>
                <w:kern w:val="0"/>
                <w:szCs w:val="21"/>
              </w:rPr>
            </w:pPr>
            <w:r>
              <w:rPr>
                <w:rFonts w:hint="eastAsia" w:hAnsiTheme="minorEastAsia"/>
                <w:color w:val="000000"/>
                <w:kern w:val="0"/>
                <w:szCs w:val="21"/>
              </w:rPr>
              <w:t>（</w:t>
            </w:r>
            <w:r>
              <w:rPr>
                <w:rFonts w:hAnsiTheme="minorEastAsia"/>
                <w:color w:val="000000"/>
                <w:kern w:val="0"/>
                <w:szCs w:val="21"/>
              </w:rPr>
              <w:t>N=348）</w:t>
            </w: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表演</w:t>
            </w:r>
          </w:p>
        </w:tc>
        <w:tc>
          <w:tcPr>
            <w:tcW w:w="636" w:type="dxa"/>
            <w:shd w:val="clear" w:color="auto" w:fill="auto"/>
            <w:vAlign w:val="center"/>
          </w:tcPr>
          <w:p>
            <w:pPr>
              <w:widowControl/>
              <w:jc w:val="center"/>
              <w:rPr>
                <w:color w:val="000000"/>
                <w:kern w:val="0"/>
                <w:szCs w:val="21"/>
              </w:rPr>
            </w:pPr>
            <w:r>
              <w:rPr>
                <w:color w:val="000000"/>
                <w:kern w:val="0"/>
                <w:szCs w:val="21"/>
              </w:rPr>
              <w:t>51</w:t>
            </w:r>
          </w:p>
        </w:tc>
        <w:tc>
          <w:tcPr>
            <w:tcW w:w="589" w:type="dxa"/>
            <w:shd w:val="clear" w:color="auto" w:fill="auto"/>
            <w:vAlign w:val="center"/>
          </w:tcPr>
          <w:p>
            <w:pPr>
              <w:widowControl/>
              <w:jc w:val="center"/>
              <w:rPr>
                <w:kern w:val="0"/>
                <w:szCs w:val="21"/>
              </w:rPr>
            </w:pPr>
            <w:r>
              <w:rPr>
                <w:kern w:val="0"/>
                <w:szCs w:val="21"/>
              </w:rPr>
              <w:t>8.9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播音与主持</w:t>
            </w:r>
          </w:p>
        </w:tc>
        <w:tc>
          <w:tcPr>
            <w:tcW w:w="636" w:type="dxa"/>
            <w:shd w:val="clear" w:color="auto" w:fill="auto"/>
            <w:vAlign w:val="center"/>
          </w:tcPr>
          <w:p>
            <w:pPr>
              <w:widowControl/>
              <w:jc w:val="center"/>
              <w:rPr>
                <w:color w:val="000000"/>
                <w:kern w:val="0"/>
                <w:szCs w:val="21"/>
              </w:rPr>
            </w:pPr>
            <w:r>
              <w:rPr>
                <w:color w:val="000000"/>
                <w:kern w:val="0"/>
                <w:szCs w:val="21"/>
              </w:rPr>
              <w:t>25</w:t>
            </w:r>
          </w:p>
        </w:tc>
        <w:tc>
          <w:tcPr>
            <w:tcW w:w="589" w:type="dxa"/>
            <w:shd w:val="clear" w:color="auto" w:fill="auto"/>
            <w:vAlign w:val="center"/>
          </w:tcPr>
          <w:p>
            <w:pPr>
              <w:widowControl/>
              <w:jc w:val="center"/>
              <w:rPr>
                <w:kern w:val="0"/>
                <w:szCs w:val="21"/>
              </w:rPr>
            </w:pPr>
            <w:r>
              <w:rPr>
                <w:kern w:val="0"/>
                <w:szCs w:val="21"/>
              </w:rPr>
              <w:t>4.4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导演</w:t>
            </w:r>
          </w:p>
        </w:tc>
        <w:tc>
          <w:tcPr>
            <w:tcW w:w="636" w:type="dxa"/>
            <w:shd w:val="clear" w:color="auto" w:fill="auto"/>
            <w:vAlign w:val="center"/>
          </w:tcPr>
          <w:p>
            <w:pPr>
              <w:widowControl/>
              <w:jc w:val="center"/>
              <w:rPr>
                <w:color w:val="000000"/>
                <w:kern w:val="0"/>
                <w:szCs w:val="21"/>
              </w:rPr>
            </w:pPr>
            <w:r>
              <w:rPr>
                <w:color w:val="000000"/>
                <w:kern w:val="0"/>
                <w:szCs w:val="21"/>
              </w:rPr>
              <w:t>17</w:t>
            </w:r>
          </w:p>
        </w:tc>
        <w:tc>
          <w:tcPr>
            <w:tcW w:w="589" w:type="dxa"/>
            <w:shd w:val="clear" w:color="auto" w:fill="auto"/>
            <w:vAlign w:val="center"/>
          </w:tcPr>
          <w:p>
            <w:pPr>
              <w:widowControl/>
              <w:jc w:val="center"/>
              <w:rPr>
                <w:kern w:val="0"/>
                <w:szCs w:val="21"/>
              </w:rPr>
            </w:pPr>
            <w:r>
              <w:rPr>
                <w:kern w:val="0"/>
                <w:szCs w:val="21"/>
              </w:rPr>
              <w:t>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电视剧创作</w:t>
            </w:r>
          </w:p>
        </w:tc>
        <w:tc>
          <w:tcPr>
            <w:tcW w:w="636" w:type="dxa"/>
            <w:shd w:val="clear" w:color="auto" w:fill="auto"/>
            <w:vAlign w:val="center"/>
          </w:tcPr>
          <w:p>
            <w:pPr>
              <w:widowControl/>
              <w:jc w:val="center"/>
              <w:rPr>
                <w:color w:val="000000"/>
                <w:kern w:val="0"/>
                <w:szCs w:val="21"/>
              </w:rPr>
            </w:pPr>
            <w:r>
              <w:rPr>
                <w:color w:val="000000"/>
                <w:kern w:val="0"/>
                <w:szCs w:val="21"/>
              </w:rPr>
              <w:t>14</w:t>
            </w:r>
          </w:p>
        </w:tc>
        <w:tc>
          <w:tcPr>
            <w:tcW w:w="589" w:type="dxa"/>
            <w:shd w:val="clear" w:color="auto" w:fill="auto"/>
            <w:vAlign w:val="center"/>
          </w:tcPr>
          <w:p>
            <w:pPr>
              <w:widowControl/>
              <w:jc w:val="center"/>
              <w:rPr>
                <w:kern w:val="0"/>
                <w:szCs w:val="21"/>
              </w:rPr>
            </w:pPr>
            <w:r>
              <w:rPr>
                <w:kern w:val="0"/>
                <w:szCs w:val="21"/>
              </w:rPr>
              <w:t>2.5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舞台灯光</w:t>
            </w:r>
          </w:p>
        </w:tc>
        <w:tc>
          <w:tcPr>
            <w:tcW w:w="636" w:type="dxa"/>
            <w:shd w:val="clear" w:color="auto" w:fill="auto"/>
            <w:vAlign w:val="center"/>
          </w:tcPr>
          <w:p>
            <w:pPr>
              <w:widowControl/>
              <w:jc w:val="center"/>
              <w:rPr>
                <w:color w:val="000000"/>
                <w:kern w:val="0"/>
                <w:szCs w:val="21"/>
              </w:rPr>
            </w:pPr>
            <w:r>
              <w:rPr>
                <w:color w:val="000000"/>
                <w:kern w:val="0"/>
                <w:szCs w:val="21"/>
              </w:rPr>
              <w:t>17</w:t>
            </w:r>
          </w:p>
        </w:tc>
        <w:tc>
          <w:tcPr>
            <w:tcW w:w="589" w:type="dxa"/>
            <w:shd w:val="clear" w:color="auto" w:fill="auto"/>
            <w:vAlign w:val="center"/>
          </w:tcPr>
          <w:p>
            <w:pPr>
              <w:widowControl/>
              <w:jc w:val="center"/>
              <w:rPr>
                <w:kern w:val="0"/>
                <w:szCs w:val="21"/>
              </w:rPr>
            </w:pPr>
            <w:r>
              <w:rPr>
                <w:kern w:val="0"/>
                <w:szCs w:val="21"/>
              </w:rPr>
              <w:t>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舞台服装</w:t>
            </w:r>
          </w:p>
        </w:tc>
        <w:tc>
          <w:tcPr>
            <w:tcW w:w="636" w:type="dxa"/>
            <w:shd w:val="clear" w:color="auto" w:fill="auto"/>
            <w:vAlign w:val="center"/>
          </w:tcPr>
          <w:p>
            <w:pPr>
              <w:widowControl/>
              <w:jc w:val="center"/>
              <w:rPr>
                <w:color w:val="000000"/>
                <w:kern w:val="0"/>
                <w:szCs w:val="21"/>
              </w:rPr>
            </w:pPr>
            <w:r>
              <w:rPr>
                <w:color w:val="000000"/>
                <w:kern w:val="0"/>
                <w:szCs w:val="21"/>
              </w:rPr>
              <w:t>16</w:t>
            </w:r>
          </w:p>
        </w:tc>
        <w:tc>
          <w:tcPr>
            <w:tcW w:w="589" w:type="dxa"/>
            <w:shd w:val="clear" w:color="auto" w:fill="auto"/>
            <w:vAlign w:val="center"/>
          </w:tcPr>
          <w:p>
            <w:pPr>
              <w:widowControl/>
              <w:jc w:val="center"/>
              <w:rPr>
                <w:kern w:val="0"/>
                <w:szCs w:val="21"/>
              </w:rPr>
            </w:pPr>
            <w:r>
              <w:rPr>
                <w:kern w:val="0"/>
                <w:szCs w:val="21"/>
              </w:rPr>
              <w:t>2.8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舞台化装</w:t>
            </w:r>
          </w:p>
        </w:tc>
        <w:tc>
          <w:tcPr>
            <w:tcW w:w="636" w:type="dxa"/>
            <w:shd w:val="clear" w:color="auto" w:fill="auto"/>
            <w:vAlign w:val="center"/>
          </w:tcPr>
          <w:p>
            <w:pPr>
              <w:widowControl/>
              <w:jc w:val="center"/>
              <w:rPr>
                <w:color w:val="000000"/>
                <w:kern w:val="0"/>
                <w:szCs w:val="21"/>
              </w:rPr>
            </w:pPr>
            <w:r>
              <w:rPr>
                <w:color w:val="000000"/>
                <w:kern w:val="0"/>
                <w:szCs w:val="21"/>
              </w:rPr>
              <w:t>18</w:t>
            </w:r>
          </w:p>
        </w:tc>
        <w:tc>
          <w:tcPr>
            <w:tcW w:w="589" w:type="dxa"/>
            <w:shd w:val="clear" w:color="auto" w:fill="auto"/>
            <w:vAlign w:val="center"/>
          </w:tcPr>
          <w:p>
            <w:pPr>
              <w:widowControl/>
              <w:jc w:val="center"/>
              <w:rPr>
                <w:kern w:val="0"/>
                <w:szCs w:val="21"/>
              </w:rPr>
            </w:pPr>
            <w:r>
              <w:rPr>
                <w:kern w:val="0"/>
                <w:szCs w:val="21"/>
              </w:rPr>
              <w:t>3.2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舞台绘景</w:t>
            </w:r>
          </w:p>
        </w:tc>
        <w:tc>
          <w:tcPr>
            <w:tcW w:w="636" w:type="dxa"/>
            <w:shd w:val="clear" w:color="auto" w:fill="auto"/>
            <w:vAlign w:val="center"/>
          </w:tcPr>
          <w:p>
            <w:pPr>
              <w:widowControl/>
              <w:jc w:val="center"/>
              <w:rPr>
                <w:color w:val="000000"/>
                <w:kern w:val="0"/>
                <w:szCs w:val="21"/>
              </w:rPr>
            </w:pPr>
            <w:r>
              <w:rPr>
                <w:color w:val="000000"/>
                <w:kern w:val="0"/>
                <w:szCs w:val="21"/>
              </w:rPr>
              <w:t>20</w:t>
            </w:r>
          </w:p>
        </w:tc>
        <w:tc>
          <w:tcPr>
            <w:tcW w:w="589" w:type="dxa"/>
            <w:shd w:val="clear" w:color="auto" w:fill="auto"/>
            <w:vAlign w:val="center"/>
          </w:tcPr>
          <w:p>
            <w:pPr>
              <w:widowControl/>
              <w:jc w:val="center"/>
              <w:rPr>
                <w:kern w:val="0"/>
                <w:szCs w:val="21"/>
              </w:rPr>
            </w:pPr>
            <w:r>
              <w:rPr>
                <w:kern w:val="0"/>
                <w:szCs w:val="21"/>
              </w:rPr>
              <w:t>3.5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舞台设计</w:t>
            </w:r>
          </w:p>
        </w:tc>
        <w:tc>
          <w:tcPr>
            <w:tcW w:w="636" w:type="dxa"/>
            <w:shd w:val="clear" w:color="auto" w:fill="auto"/>
            <w:vAlign w:val="center"/>
          </w:tcPr>
          <w:p>
            <w:pPr>
              <w:widowControl/>
              <w:jc w:val="center"/>
              <w:rPr>
                <w:color w:val="000000"/>
                <w:kern w:val="0"/>
                <w:szCs w:val="21"/>
              </w:rPr>
            </w:pPr>
            <w:r>
              <w:rPr>
                <w:color w:val="000000"/>
                <w:kern w:val="0"/>
                <w:szCs w:val="21"/>
              </w:rPr>
              <w:t>1</w:t>
            </w:r>
            <w:r>
              <w:rPr>
                <w:rFonts w:hint="eastAsia"/>
                <w:color w:val="000000"/>
                <w:kern w:val="0"/>
                <w:szCs w:val="21"/>
              </w:rPr>
              <w:t>7</w:t>
            </w:r>
          </w:p>
        </w:tc>
        <w:tc>
          <w:tcPr>
            <w:tcW w:w="589" w:type="dxa"/>
            <w:shd w:val="clear" w:color="auto" w:fill="auto"/>
            <w:vAlign w:val="center"/>
          </w:tcPr>
          <w:p>
            <w:pPr>
              <w:widowControl/>
              <w:jc w:val="center"/>
              <w:rPr>
                <w:kern w:val="0"/>
                <w:szCs w:val="21"/>
              </w:rPr>
            </w:pPr>
            <w:r>
              <w:rPr>
                <w:rFonts w:hint="eastAsia"/>
                <w:kern w:val="0"/>
                <w:szCs w:val="21"/>
              </w:rPr>
              <w:t>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戏剧创作</w:t>
            </w:r>
          </w:p>
        </w:tc>
        <w:tc>
          <w:tcPr>
            <w:tcW w:w="636" w:type="dxa"/>
            <w:shd w:val="clear" w:color="auto" w:fill="auto"/>
            <w:vAlign w:val="center"/>
          </w:tcPr>
          <w:p>
            <w:pPr>
              <w:widowControl/>
              <w:jc w:val="center"/>
              <w:rPr>
                <w:color w:val="000000"/>
                <w:kern w:val="0"/>
                <w:szCs w:val="21"/>
              </w:rPr>
            </w:pPr>
            <w:r>
              <w:rPr>
                <w:color w:val="000000"/>
                <w:kern w:val="0"/>
                <w:szCs w:val="21"/>
              </w:rPr>
              <w:t>18</w:t>
            </w:r>
          </w:p>
        </w:tc>
        <w:tc>
          <w:tcPr>
            <w:tcW w:w="589" w:type="dxa"/>
            <w:shd w:val="clear" w:color="auto" w:fill="auto"/>
            <w:vAlign w:val="center"/>
          </w:tcPr>
          <w:p>
            <w:pPr>
              <w:widowControl/>
              <w:jc w:val="center"/>
              <w:rPr>
                <w:kern w:val="0"/>
                <w:szCs w:val="21"/>
              </w:rPr>
            </w:pPr>
            <w:r>
              <w:rPr>
                <w:kern w:val="0"/>
                <w:szCs w:val="21"/>
              </w:rPr>
              <w:t>3.2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戏剧学</w:t>
            </w:r>
          </w:p>
        </w:tc>
        <w:tc>
          <w:tcPr>
            <w:tcW w:w="636" w:type="dxa"/>
            <w:shd w:val="clear" w:color="auto" w:fill="auto"/>
            <w:vAlign w:val="center"/>
          </w:tcPr>
          <w:p>
            <w:pPr>
              <w:widowControl/>
              <w:jc w:val="center"/>
              <w:rPr>
                <w:color w:val="000000"/>
                <w:kern w:val="0"/>
                <w:szCs w:val="21"/>
              </w:rPr>
            </w:pPr>
            <w:r>
              <w:rPr>
                <w:color w:val="000000"/>
                <w:kern w:val="0"/>
                <w:szCs w:val="21"/>
              </w:rPr>
              <w:t>37</w:t>
            </w:r>
          </w:p>
        </w:tc>
        <w:tc>
          <w:tcPr>
            <w:tcW w:w="589" w:type="dxa"/>
            <w:shd w:val="clear" w:color="auto" w:fill="auto"/>
            <w:vAlign w:val="center"/>
          </w:tcPr>
          <w:p>
            <w:pPr>
              <w:widowControl/>
              <w:jc w:val="center"/>
              <w:rPr>
                <w:kern w:val="0"/>
                <w:szCs w:val="21"/>
              </w:rPr>
            </w:pPr>
            <w:r>
              <w:rPr>
                <w:kern w:val="0"/>
                <w:szCs w:val="21"/>
              </w:rPr>
              <w:t>6.5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演出制作</w:t>
            </w:r>
          </w:p>
        </w:tc>
        <w:tc>
          <w:tcPr>
            <w:tcW w:w="636" w:type="dxa"/>
            <w:shd w:val="clear" w:color="auto" w:fill="auto"/>
            <w:vAlign w:val="center"/>
          </w:tcPr>
          <w:p>
            <w:pPr>
              <w:widowControl/>
              <w:jc w:val="center"/>
              <w:rPr>
                <w:color w:val="000000"/>
                <w:kern w:val="0"/>
                <w:szCs w:val="21"/>
              </w:rPr>
            </w:pPr>
            <w:r>
              <w:rPr>
                <w:color w:val="000000"/>
                <w:kern w:val="0"/>
                <w:szCs w:val="21"/>
              </w:rPr>
              <w:t>39</w:t>
            </w:r>
          </w:p>
        </w:tc>
        <w:tc>
          <w:tcPr>
            <w:tcW w:w="589" w:type="dxa"/>
            <w:shd w:val="clear" w:color="auto" w:fill="auto"/>
            <w:vAlign w:val="center"/>
          </w:tcPr>
          <w:p>
            <w:pPr>
              <w:widowControl/>
              <w:jc w:val="center"/>
              <w:rPr>
                <w:kern w:val="0"/>
                <w:szCs w:val="21"/>
              </w:rPr>
            </w:pPr>
            <w:r>
              <w:rPr>
                <w:kern w:val="0"/>
                <w:szCs w:val="21"/>
              </w:rPr>
              <w:t>6.8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影视编导</w:t>
            </w:r>
          </w:p>
        </w:tc>
        <w:tc>
          <w:tcPr>
            <w:tcW w:w="636" w:type="dxa"/>
            <w:shd w:val="clear" w:color="auto" w:fill="auto"/>
            <w:vAlign w:val="center"/>
          </w:tcPr>
          <w:p>
            <w:pPr>
              <w:widowControl/>
              <w:jc w:val="center"/>
              <w:rPr>
                <w:color w:val="000000"/>
                <w:kern w:val="0"/>
                <w:szCs w:val="21"/>
              </w:rPr>
            </w:pPr>
            <w:r>
              <w:rPr>
                <w:color w:val="000000"/>
                <w:kern w:val="0"/>
                <w:szCs w:val="21"/>
              </w:rPr>
              <w:t>20</w:t>
            </w:r>
          </w:p>
        </w:tc>
        <w:tc>
          <w:tcPr>
            <w:tcW w:w="589" w:type="dxa"/>
            <w:shd w:val="clear" w:color="auto" w:fill="auto"/>
            <w:vAlign w:val="center"/>
          </w:tcPr>
          <w:p>
            <w:pPr>
              <w:widowControl/>
              <w:jc w:val="center"/>
              <w:rPr>
                <w:kern w:val="0"/>
                <w:szCs w:val="21"/>
              </w:rPr>
            </w:pPr>
            <w:r>
              <w:rPr>
                <w:kern w:val="0"/>
                <w:szCs w:val="21"/>
              </w:rPr>
              <w:t>3.5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widowControl/>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制片管理</w:t>
            </w:r>
          </w:p>
        </w:tc>
        <w:tc>
          <w:tcPr>
            <w:tcW w:w="636" w:type="dxa"/>
            <w:shd w:val="clear" w:color="auto" w:fill="auto"/>
            <w:vAlign w:val="center"/>
          </w:tcPr>
          <w:p>
            <w:pPr>
              <w:widowControl/>
              <w:jc w:val="center"/>
              <w:rPr>
                <w:color w:val="000000"/>
                <w:kern w:val="0"/>
                <w:szCs w:val="21"/>
              </w:rPr>
            </w:pPr>
            <w:r>
              <w:rPr>
                <w:color w:val="000000"/>
                <w:kern w:val="0"/>
                <w:szCs w:val="21"/>
              </w:rPr>
              <w:t>39</w:t>
            </w:r>
          </w:p>
        </w:tc>
        <w:tc>
          <w:tcPr>
            <w:tcW w:w="589" w:type="dxa"/>
            <w:shd w:val="clear" w:color="auto" w:fill="auto"/>
            <w:vAlign w:val="center"/>
          </w:tcPr>
          <w:p>
            <w:pPr>
              <w:widowControl/>
              <w:jc w:val="center"/>
              <w:rPr>
                <w:kern w:val="0"/>
                <w:szCs w:val="21"/>
              </w:rPr>
            </w:pPr>
            <w:r>
              <w:rPr>
                <w:kern w:val="0"/>
                <w:szCs w:val="21"/>
              </w:rPr>
              <w:t>6.8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restart"/>
            <w:shd w:val="clear" w:color="auto" w:fill="auto"/>
            <w:vAlign w:val="center"/>
          </w:tcPr>
          <w:p>
            <w:pPr>
              <w:widowControl/>
              <w:jc w:val="center"/>
              <w:rPr>
                <w:rFonts w:hAnsiTheme="minorEastAsia"/>
                <w:color w:val="000000"/>
                <w:kern w:val="0"/>
                <w:szCs w:val="21"/>
              </w:rPr>
            </w:pPr>
            <w:r>
              <w:rPr>
                <w:rFonts w:hint="eastAsia" w:hAnsiTheme="minorEastAsia"/>
                <w:color w:val="000000"/>
                <w:kern w:val="0"/>
                <w:szCs w:val="21"/>
              </w:rPr>
              <w:t>研究生</w:t>
            </w:r>
          </w:p>
          <w:p>
            <w:pPr>
              <w:jc w:val="center"/>
              <w:rPr>
                <w:rFonts w:hAnsiTheme="minorEastAsia"/>
                <w:color w:val="000000"/>
                <w:kern w:val="0"/>
                <w:szCs w:val="21"/>
              </w:rPr>
            </w:pPr>
            <w:r>
              <w:rPr>
                <w:rFonts w:hint="eastAsia" w:hAnsiTheme="minorEastAsia"/>
                <w:color w:val="000000"/>
                <w:kern w:val="0"/>
                <w:szCs w:val="21"/>
              </w:rPr>
              <w:t>（</w:t>
            </w:r>
            <w:r>
              <w:rPr>
                <w:rFonts w:hAnsiTheme="minorEastAsia"/>
                <w:color w:val="000000"/>
                <w:kern w:val="0"/>
                <w:szCs w:val="21"/>
              </w:rPr>
              <w:t>N=126）</w:t>
            </w: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戏剧</w:t>
            </w:r>
          </w:p>
        </w:tc>
        <w:tc>
          <w:tcPr>
            <w:tcW w:w="636" w:type="dxa"/>
            <w:shd w:val="clear" w:color="auto" w:fill="auto"/>
            <w:vAlign w:val="center"/>
          </w:tcPr>
          <w:p>
            <w:pPr>
              <w:widowControl/>
              <w:jc w:val="center"/>
              <w:rPr>
                <w:color w:val="000000"/>
                <w:kern w:val="0"/>
                <w:szCs w:val="21"/>
              </w:rPr>
            </w:pPr>
            <w:r>
              <w:rPr>
                <w:color w:val="000000"/>
                <w:kern w:val="0"/>
                <w:szCs w:val="21"/>
              </w:rPr>
              <w:t>46</w:t>
            </w:r>
          </w:p>
        </w:tc>
        <w:tc>
          <w:tcPr>
            <w:tcW w:w="589" w:type="dxa"/>
            <w:shd w:val="clear" w:color="auto" w:fill="auto"/>
            <w:vAlign w:val="center"/>
          </w:tcPr>
          <w:p>
            <w:pPr>
              <w:widowControl/>
              <w:jc w:val="center"/>
              <w:rPr>
                <w:kern w:val="0"/>
                <w:szCs w:val="21"/>
              </w:rPr>
            </w:pPr>
            <w:r>
              <w:rPr>
                <w:kern w:val="0"/>
                <w:szCs w:val="21"/>
              </w:rPr>
              <w:t>8.1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54" w:hRule="atLeast"/>
          <w:jc w:val="center"/>
        </w:trPr>
        <w:tc>
          <w:tcPr>
            <w:tcW w:w="1196" w:type="dxa"/>
            <w:vMerge w:val="continue"/>
            <w:shd w:val="clear" w:color="auto" w:fill="auto"/>
            <w:vAlign w:val="center"/>
          </w:tcPr>
          <w:p>
            <w:pPr>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戏剧与影视学</w:t>
            </w:r>
          </w:p>
        </w:tc>
        <w:tc>
          <w:tcPr>
            <w:tcW w:w="636" w:type="dxa"/>
            <w:shd w:val="clear" w:color="auto" w:fill="auto"/>
            <w:vAlign w:val="center"/>
          </w:tcPr>
          <w:p>
            <w:pPr>
              <w:widowControl/>
              <w:jc w:val="center"/>
              <w:rPr>
                <w:color w:val="000000"/>
                <w:kern w:val="0"/>
                <w:szCs w:val="21"/>
              </w:rPr>
            </w:pPr>
            <w:r>
              <w:rPr>
                <w:color w:val="000000"/>
                <w:kern w:val="0"/>
                <w:szCs w:val="21"/>
              </w:rPr>
              <w:t>65</w:t>
            </w:r>
          </w:p>
        </w:tc>
        <w:tc>
          <w:tcPr>
            <w:tcW w:w="589" w:type="dxa"/>
            <w:shd w:val="clear" w:color="auto" w:fill="auto"/>
            <w:vAlign w:val="center"/>
          </w:tcPr>
          <w:p>
            <w:pPr>
              <w:widowControl/>
              <w:jc w:val="center"/>
              <w:rPr>
                <w:kern w:val="0"/>
                <w:szCs w:val="21"/>
              </w:rPr>
            </w:pPr>
            <w:r>
              <w:rPr>
                <w:kern w:val="0"/>
                <w:szCs w:val="21"/>
              </w:rPr>
              <w:t>11.4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54" w:hRule="atLeast"/>
          <w:jc w:val="center"/>
        </w:trPr>
        <w:tc>
          <w:tcPr>
            <w:tcW w:w="1196" w:type="dxa"/>
            <w:vMerge w:val="continue"/>
            <w:shd w:val="clear" w:color="auto" w:fill="auto"/>
            <w:vAlign w:val="center"/>
          </w:tcPr>
          <w:p>
            <w:pPr>
              <w:widowControl/>
              <w:jc w:val="center"/>
              <w:rPr>
                <w:rFonts w:hAnsiTheme="minorEastAsia"/>
                <w:color w:val="000000"/>
                <w:kern w:val="0"/>
                <w:szCs w:val="21"/>
              </w:rPr>
            </w:pPr>
          </w:p>
        </w:tc>
        <w:tc>
          <w:tcPr>
            <w:tcW w:w="1476" w:type="dxa"/>
            <w:shd w:val="clear" w:color="auto" w:fill="auto"/>
            <w:vAlign w:val="center"/>
          </w:tcPr>
          <w:p>
            <w:pPr>
              <w:widowControl/>
              <w:jc w:val="left"/>
              <w:rPr>
                <w:rFonts w:hAnsiTheme="minorEastAsia"/>
                <w:color w:val="000000"/>
                <w:kern w:val="0"/>
                <w:szCs w:val="21"/>
              </w:rPr>
            </w:pPr>
            <w:r>
              <w:rPr>
                <w:rFonts w:hint="eastAsia" w:hAnsiTheme="minorEastAsia"/>
                <w:color w:val="000000"/>
                <w:kern w:val="0"/>
                <w:szCs w:val="21"/>
              </w:rPr>
              <w:t>艺术学理论</w:t>
            </w:r>
          </w:p>
        </w:tc>
        <w:tc>
          <w:tcPr>
            <w:tcW w:w="636" w:type="dxa"/>
            <w:shd w:val="clear" w:color="auto" w:fill="auto"/>
            <w:vAlign w:val="center"/>
          </w:tcPr>
          <w:p>
            <w:pPr>
              <w:widowControl/>
              <w:jc w:val="center"/>
              <w:rPr>
                <w:color w:val="000000"/>
                <w:kern w:val="0"/>
                <w:szCs w:val="21"/>
              </w:rPr>
            </w:pPr>
            <w:r>
              <w:rPr>
                <w:color w:val="000000"/>
                <w:kern w:val="0"/>
                <w:szCs w:val="21"/>
              </w:rPr>
              <w:t>15</w:t>
            </w:r>
          </w:p>
        </w:tc>
        <w:tc>
          <w:tcPr>
            <w:tcW w:w="589" w:type="dxa"/>
            <w:shd w:val="clear" w:color="auto" w:fill="auto"/>
            <w:vAlign w:val="center"/>
          </w:tcPr>
          <w:p>
            <w:pPr>
              <w:widowControl/>
              <w:jc w:val="center"/>
              <w:rPr>
                <w:kern w:val="0"/>
                <w:szCs w:val="21"/>
              </w:rPr>
            </w:pPr>
            <w:r>
              <w:rPr>
                <w:kern w:val="0"/>
                <w:szCs w:val="21"/>
              </w:rPr>
              <w:t>2.6</w:t>
            </w:r>
          </w:p>
        </w:tc>
      </w:tr>
    </w:tbl>
    <w:p>
      <w:pPr>
        <w:pStyle w:val="37"/>
        <w:ind w:firstLine="0" w:firstLineChars="0"/>
      </w:pPr>
      <w:bookmarkStart w:id="11" w:name="PO_213"/>
      <w:bookmarkEnd w:id="11"/>
    </w:p>
    <w:p>
      <w:pPr>
        <w:pStyle w:val="43"/>
        <w:spacing w:before="312" w:after="156"/>
      </w:pPr>
      <w:r>
        <w:rPr>
          <w:rFonts w:hint="eastAsia"/>
        </w:rPr>
        <w:t>二、毕业去向</w:t>
      </w:r>
      <w:bookmarkEnd w:id="8"/>
      <w:r>
        <w:rPr>
          <w:rFonts w:hint="eastAsia"/>
        </w:rPr>
        <w:t>情况</w:t>
      </w:r>
    </w:p>
    <w:p>
      <w:pPr>
        <w:pStyle w:val="37"/>
        <w:ind w:firstLine="480"/>
      </w:pPr>
      <w:bookmarkStart w:id="12" w:name="PO_220"/>
      <w:bookmarkEnd w:id="12"/>
      <w:r>
        <w:rPr>
          <w:rFonts w:hint="eastAsia"/>
        </w:rPr>
        <w:t>根据本校2016届毕业生就业派遣数据库，毕业生去向包括“签署三方协议”、“签订劳动合同”、“单位开具用人证明”、“自由职业”、“自主创业”、“国内升学”、“出国（境）留学”、“求职中”、“拟升学不就业”、“拟出国不就业”、“暂不就业”11类。其中，除“求职中”、“拟升学不就业”、“拟出国不就业”、“暂不就业”外，其余7类为就业。</w:t>
      </w:r>
    </w:p>
    <w:p>
      <w:pPr>
        <w:pStyle w:val="44"/>
        <w:spacing w:before="156"/>
      </w:pPr>
      <w:bookmarkStart w:id="13" w:name="_Toc406677040"/>
      <w:r>
        <w:rPr>
          <w:rFonts w:hint="eastAsia"/>
        </w:rPr>
        <w:t>1、</w:t>
      </w:r>
      <w:bookmarkEnd w:id="13"/>
      <w:r>
        <w:rPr>
          <w:rFonts w:hint="eastAsia"/>
        </w:rPr>
        <w:t>就业率</w:t>
      </w:r>
    </w:p>
    <w:p>
      <w:pPr>
        <w:pStyle w:val="67"/>
      </w:pPr>
      <w:r>
        <w:rPr>
          <w:rFonts w:hint="eastAsia"/>
        </w:rPr>
        <w:t>（1）总体情况</w:t>
      </w:r>
    </w:p>
    <w:p>
      <w:pPr>
        <w:pStyle w:val="37"/>
        <w:ind w:firstLine="480"/>
      </w:pPr>
      <w:bookmarkStart w:id="14" w:name="PO_221"/>
      <w:bookmarkEnd w:id="14"/>
      <w:r>
        <w:rPr>
          <w:rFonts w:hint="eastAsia"/>
        </w:rPr>
        <w:t>本校2016届毕业生就业率为95.3%。其中，13.7%与用人单位签署三方协议，10.7%与用人单位签订劳动合同，4.7%由单位开具用人证明，55.4%选择自由职业，2.3%选择自主创业，5.8%选择国内升学，2.6%选择出国（境）留学。</w:t>
      </w:r>
    </w:p>
    <w:p>
      <w:pPr>
        <w:pStyle w:val="53"/>
        <w:spacing w:before="312" w:after="156"/>
      </w:pPr>
      <w:r>
        <w:rPr>
          <w:rFonts w:hint="eastAsia"/>
        </w:rPr>
        <w:t>全体毕业生毕业去向</w:t>
      </w:r>
    </w:p>
    <w:tbl>
      <w:tblPr>
        <w:tblStyle w:val="33"/>
        <w:tblW w:w="337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846"/>
        <w:gridCol w:w="1896"/>
        <w:gridCol w:w="636"/>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rPr>
                <w:kern w:val="0"/>
              </w:rPr>
            </w:pPr>
          </w:p>
        </w:tc>
        <w:tc>
          <w:tcPr>
            <w:tcW w:w="1896" w:type="dxa"/>
            <w:shd w:val="clear" w:color="auto" w:fill="auto"/>
            <w:vAlign w:val="center"/>
          </w:tcPr>
          <w:p>
            <w:pPr>
              <w:pStyle w:val="52"/>
              <w:rPr>
                <w:kern w:val="0"/>
              </w:rPr>
            </w:pPr>
          </w:p>
        </w:tc>
        <w:tc>
          <w:tcPr>
            <w:tcW w:w="636" w:type="dxa"/>
            <w:shd w:val="clear" w:color="auto" w:fill="auto"/>
            <w:vAlign w:val="center"/>
          </w:tcPr>
          <w:p>
            <w:pPr>
              <w:pStyle w:val="52"/>
              <w:jc w:val="center"/>
              <w:rPr>
                <w:kern w:val="0"/>
              </w:rPr>
            </w:pPr>
            <w:r>
              <w:rPr>
                <w:rFonts w:hint="eastAsia"/>
                <w:kern w:val="0"/>
              </w:rPr>
              <w:t>人数</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restart"/>
            <w:shd w:val="clear" w:color="auto" w:fill="auto"/>
            <w:vAlign w:val="center"/>
          </w:tcPr>
          <w:p>
            <w:pPr>
              <w:pStyle w:val="52"/>
              <w:jc w:val="center"/>
              <w:rPr>
                <w:kern w:val="0"/>
              </w:rPr>
            </w:pPr>
            <w:r>
              <w:rPr>
                <w:rFonts w:hint="eastAsia"/>
                <w:kern w:val="0"/>
              </w:rPr>
              <w:t>就业</w:t>
            </w:r>
          </w:p>
        </w:tc>
        <w:tc>
          <w:tcPr>
            <w:tcW w:w="1896" w:type="dxa"/>
            <w:shd w:val="clear" w:color="auto" w:fill="auto"/>
            <w:vAlign w:val="center"/>
          </w:tcPr>
          <w:p>
            <w:pPr>
              <w:pStyle w:val="52"/>
              <w:rPr>
                <w:kern w:val="0"/>
              </w:rPr>
            </w:pPr>
            <w:r>
              <w:rPr>
                <w:rFonts w:hint="eastAsia"/>
                <w:kern w:val="0"/>
              </w:rPr>
              <w:t>签署三方协议</w:t>
            </w:r>
          </w:p>
        </w:tc>
        <w:tc>
          <w:tcPr>
            <w:tcW w:w="636" w:type="dxa"/>
            <w:shd w:val="clear" w:color="auto" w:fill="auto"/>
            <w:vAlign w:val="center"/>
          </w:tcPr>
          <w:p>
            <w:pPr>
              <w:pStyle w:val="52"/>
              <w:jc w:val="center"/>
              <w:rPr>
                <w:kern w:val="0"/>
              </w:rPr>
            </w:pPr>
            <w:r>
              <w:rPr>
                <w:kern w:val="0"/>
              </w:rPr>
              <w:t>78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签订劳动合同</w:t>
            </w:r>
          </w:p>
        </w:tc>
        <w:tc>
          <w:tcPr>
            <w:tcW w:w="636" w:type="dxa"/>
            <w:shd w:val="clear" w:color="auto" w:fill="auto"/>
            <w:vAlign w:val="center"/>
          </w:tcPr>
          <w:p>
            <w:pPr>
              <w:pStyle w:val="52"/>
              <w:jc w:val="center"/>
              <w:rPr>
                <w:kern w:val="0"/>
              </w:rPr>
            </w:pPr>
            <w:r>
              <w:rPr>
                <w:kern w:val="0"/>
              </w:rPr>
              <w:t>61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单位开具用人证明</w:t>
            </w:r>
          </w:p>
        </w:tc>
        <w:tc>
          <w:tcPr>
            <w:tcW w:w="636" w:type="dxa"/>
            <w:shd w:val="clear" w:color="auto" w:fill="auto"/>
            <w:vAlign w:val="center"/>
          </w:tcPr>
          <w:p>
            <w:pPr>
              <w:pStyle w:val="52"/>
              <w:jc w:val="center"/>
              <w:rPr>
                <w:kern w:val="0"/>
              </w:rPr>
            </w:pPr>
            <w:r>
              <w:rPr>
                <w:kern w:val="0"/>
              </w:rPr>
              <w:t>27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自由职业</w:t>
            </w:r>
          </w:p>
        </w:tc>
        <w:tc>
          <w:tcPr>
            <w:tcW w:w="636" w:type="dxa"/>
            <w:shd w:val="clear" w:color="auto" w:fill="auto"/>
            <w:vAlign w:val="center"/>
          </w:tcPr>
          <w:p>
            <w:pPr>
              <w:pStyle w:val="52"/>
              <w:jc w:val="center"/>
              <w:rPr>
                <w:kern w:val="0"/>
              </w:rPr>
            </w:pPr>
            <w:r>
              <w:rPr>
                <w:kern w:val="0"/>
              </w:rPr>
              <w:t>316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自主创业</w:t>
            </w:r>
          </w:p>
        </w:tc>
        <w:tc>
          <w:tcPr>
            <w:tcW w:w="636" w:type="dxa"/>
            <w:shd w:val="clear" w:color="auto" w:fill="auto"/>
            <w:vAlign w:val="center"/>
          </w:tcPr>
          <w:p>
            <w:pPr>
              <w:pStyle w:val="52"/>
              <w:jc w:val="center"/>
              <w:rPr>
                <w:kern w:val="0"/>
              </w:rPr>
            </w:pPr>
            <w:r>
              <w:rPr>
                <w:kern w:val="0"/>
              </w:rPr>
              <w:t>13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国内升学</w:t>
            </w:r>
          </w:p>
        </w:tc>
        <w:tc>
          <w:tcPr>
            <w:tcW w:w="636" w:type="dxa"/>
            <w:shd w:val="clear" w:color="auto" w:fill="auto"/>
            <w:vAlign w:val="center"/>
          </w:tcPr>
          <w:p>
            <w:pPr>
              <w:pStyle w:val="52"/>
              <w:jc w:val="center"/>
              <w:rPr>
                <w:kern w:val="0"/>
              </w:rPr>
            </w:pPr>
            <w:r>
              <w:rPr>
                <w:kern w:val="0"/>
              </w:rPr>
              <w:t>33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出国（境）留学</w:t>
            </w:r>
          </w:p>
        </w:tc>
        <w:tc>
          <w:tcPr>
            <w:tcW w:w="636" w:type="dxa"/>
            <w:shd w:val="clear" w:color="auto" w:fill="auto"/>
            <w:vAlign w:val="center"/>
          </w:tcPr>
          <w:p>
            <w:pPr>
              <w:pStyle w:val="52"/>
              <w:jc w:val="center"/>
              <w:rPr>
                <w:kern w:val="0"/>
              </w:rPr>
            </w:pPr>
            <w:r>
              <w:rPr>
                <w:kern w:val="0"/>
              </w:rPr>
              <w:t>15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restart"/>
            <w:shd w:val="clear" w:color="auto" w:fill="auto"/>
            <w:vAlign w:val="center"/>
          </w:tcPr>
          <w:p>
            <w:pPr>
              <w:pStyle w:val="52"/>
              <w:jc w:val="center"/>
              <w:rPr>
                <w:kern w:val="0"/>
              </w:rPr>
            </w:pPr>
            <w:r>
              <w:rPr>
                <w:rFonts w:hint="eastAsia"/>
                <w:kern w:val="0"/>
              </w:rPr>
              <w:t>未就业</w:t>
            </w:r>
          </w:p>
        </w:tc>
        <w:tc>
          <w:tcPr>
            <w:tcW w:w="1896" w:type="dxa"/>
            <w:shd w:val="clear" w:color="auto" w:fill="auto"/>
            <w:vAlign w:val="center"/>
          </w:tcPr>
          <w:p>
            <w:pPr>
              <w:pStyle w:val="52"/>
              <w:rPr>
                <w:kern w:val="0"/>
              </w:rPr>
            </w:pPr>
            <w:r>
              <w:rPr>
                <w:rFonts w:hint="eastAsia"/>
                <w:kern w:val="0"/>
              </w:rPr>
              <w:t>求职中</w:t>
            </w:r>
          </w:p>
        </w:tc>
        <w:tc>
          <w:tcPr>
            <w:tcW w:w="636" w:type="dxa"/>
            <w:shd w:val="clear" w:color="auto" w:fill="auto"/>
            <w:vAlign w:val="center"/>
          </w:tcPr>
          <w:p>
            <w:pPr>
              <w:pStyle w:val="52"/>
              <w:jc w:val="center"/>
              <w:rPr>
                <w:kern w:val="0"/>
              </w:rPr>
            </w:pPr>
            <w:r>
              <w:rPr>
                <w:kern w:val="0"/>
              </w:rPr>
              <w:t>14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拟升学不就业</w:t>
            </w:r>
          </w:p>
        </w:tc>
        <w:tc>
          <w:tcPr>
            <w:tcW w:w="636" w:type="dxa"/>
            <w:shd w:val="clear" w:color="auto" w:fill="auto"/>
            <w:vAlign w:val="center"/>
          </w:tcPr>
          <w:p>
            <w:pPr>
              <w:pStyle w:val="52"/>
              <w:jc w:val="center"/>
              <w:rPr>
                <w:kern w:val="0"/>
              </w:rPr>
            </w:pPr>
            <w:r>
              <w:rPr>
                <w:kern w:val="0"/>
              </w:rPr>
              <w:t>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拟出国不就业</w:t>
            </w:r>
          </w:p>
        </w:tc>
        <w:tc>
          <w:tcPr>
            <w:tcW w:w="636" w:type="dxa"/>
            <w:shd w:val="clear" w:color="auto" w:fill="auto"/>
            <w:vAlign w:val="center"/>
          </w:tcPr>
          <w:p>
            <w:pPr>
              <w:pStyle w:val="52"/>
              <w:jc w:val="center"/>
              <w:rPr>
                <w:kern w:val="0"/>
              </w:rPr>
            </w:pPr>
            <w:r>
              <w:rPr>
                <w:kern w:val="0"/>
              </w:rPr>
              <w:t>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8" w:space="0"/>
          </w:tblBorders>
          <w:tblLayout w:type="fixed"/>
        </w:tblPrEx>
        <w:trPr>
          <w:trHeight w:val="270" w:hRule="atLeast"/>
          <w:jc w:val="center"/>
        </w:trPr>
        <w:tc>
          <w:tcPr>
            <w:tcW w:w="846" w:type="dxa"/>
            <w:vMerge w:val="continue"/>
            <w:shd w:val="clear" w:color="auto" w:fill="auto"/>
            <w:vAlign w:val="center"/>
          </w:tcPr>
          <w:p>
            <w:pPr>
              <w:pStyle w:val="52"/>
              <w:jc w:val="center"/>
              <w:rPr>
                <w:kern w:val="0"/>
              </w:rPr>
            </w:pPr>
          </w:p>
        </w:tc>
        <w:tc>
          <w:tcPr>
            <w:tcW w:w="1896" w:type="dxa"/>
            <w:shd w:val="clear" w:color="auto" w:fill="auto"/>
            <w:vAlign w:val="center"/>
          </w:tcPr>
          <w:p>
            <w:pPr>
              <w:pStyle w:val="52"/>
              <w:rPr>
                <w:kern w:val="0"/>
              </w:rPr>
            </w:pPr>
            <w:r>
              <w:rPr>
                <w:rFonts w:hint="eastAsia"/>
                <w:kern w:val="0"/>
              </w:rPr>
              <w:t>暂不就业</w:t>
            </w:r>
          </w:p>
        </w:tc>
        <w:tc>
          <w:tcPr>
            <w:tcW w:w="636" w:type="dxa"/>
            <w:shd w:val="clear" w:color="auto" w:fill="auto"/>
            <w:vAlign w:val="center"/>
          </w:tcPr>
          <w:p>
            <w:pPr>
              <w:pStyle w:val="52"/>
              <w:jc w:val="center"/>
              <w:rPr>
                <w:kern w:val="0"/>
              </w:rPr>
            </w:pPr>
            <w:r>
              <w:rPr>
                <w:kern w:val="0"/>
              </w:rPr>
              <w:t>2</w:t>
            </w:r>
          </w:p>
        </w:tc>
      </w:tr>
    </w:tbl>
    <w:p>
      <w:pPr>
        <w:pStyle w:val="52"/>
      </w:pPr>
    </w:p>
    <w:p>
      <w:pPr>
        <w:pStyle w:val="67"/>
      </w:pPr>
      <w:bookmarkStart w:id="15" w:name="_Toc406677041"/>
      <w:r>
        <w:t>（</w:t>
      </w:r>
      <w:r>
        <w:rPr>
          <w:rFonts w:hint="eastAsia"/>
        </w:rPr>
        <w:t>2</w:t>
      </w:r>
      <w:r>
        <w:t>）</w:t>
      </w:r>
      <w:r>
        <w:rPr>
          <w:rFonts w:hint="eastAsia"/>
        </w:rPr>
        <w:t>不同性别毕业生</w:t>
      </w:r>
      <w:bookmarkEnd w:id="15"/>
      <w:r>
        <w:rPr>
          <w:rFonts w:hint="eastAsia"/>
        </w:rPr>
        <w:t>就业率</w:t>
      </w:r>
    </w:p>
    <w:p>
      <w:pPr>
        <w:pStyle w:val="37"/>
        <w:ind w:firstLine="480"/>
      </w:pPr>
      <w:bookmarkStart w:id="16" w:name="PO_222"/>
      <w:bookmarkEnd w:id="16"/>
      <w:r>
        <w:rPr>
          <w:rFonts w:hint="eastAsia"/>
        </w:rPr>
        <w:t>数据显示，本校2016届毕业生中男生、女生的就业率分别为92.9%和96.7%，男生就业率比女生低3.8个百分点。男生与用人单位签署三方协议的比例比女生低3.1个百分点，男生与用人单位签订劳动合同的比例比女生低4.2个百分点，男生由用人单位开具用人证明的比例比女生低2.5个百分点，男生从事自由职业的比例比女生高10.7个百分点，男生自主创业的比例比女生高1.5个百分点，男生国内升学的比例比女生低4.2个百分点，男生出国（境）留学的比例比女生低2.0个百分点。</w:t>
      </w:r>
    </w:p>
    <w:p>
      <w:pPr>
        <w:pStyle w:val="53"/>
        <w:spacing w:before="312" w:after="156"/>
      </w:pPr>
      <w:r>
        <w:rPr>
          <w:rFonts w:hint="eastAsia"/>
        </w:rPr>
        <w:t>不同性别毕业生毕业去向</w:t>
      </w:r>
    </w:p>
    <w:tbl>
      <w:tblPr>
        <w:tblStyle w:val="33"/>
        <w:tblW w:w="5192" w:type="dxa"/>
        <w:jc w:val="center"/>
        <w:tblInd w:w="0" w:type="dxa"/>
        <w:tblLayout w:type="fixed"/>
        <w:tblCellMar>
          <w:top w:w="0" w:type="dxa"/>
          <w:left w:w="108" w:type="dxa"/>
          <w:bottom w:w="0" w:type="dxa"/>
          <w:right w:w="108" w:type="dxa"/>
        </w:tblCellMar>
      </w:tblPr>
      <w:tblGrid>
        <w:gridCol w:w="846"/>
        <w:gridCol w:w="1896"/>
        <w:gridCol w:w="636"/>
        <w:gridCol w:w="589"/>
        <w:gridCol w:w="636"/>
        <w:gridCol w:w="589"/>
      </w:tblGrid>
      <w:tr>
        <w:tblPrEx>
          <w:tblLayout w:type="fixed"/>
          <w:tblCellMar>
            <w:top w:w="0" w:type="dxa"/>
            <w:left w:w="108" w:type="dxa"/>
            <w:bottom w:w="0" w:type="dxa"/>
            <w:right w:w="108" w:type="dxa"/>
          </w:tblCellMar>
        </w:tblPrEx>
        <w:trPr>
          <w:trHeight w:val="315"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bottom"/>
          </w:tcPr>
          <w:p>
            <w:pPr>
              <w:pStyle w:val="52"/>
              <w:ind w:firstLine="480"/>
              <w:jc w:val="left"/>
              <w:rPr>
                <w:kern w:val="0"/>
              </w:rPr>
            </w:pPr>
          </w:p>
        </w:tc>
        <w:tc>
          <w:tcPr>
            <w:tcW w:w="1896" w:type="dxa"/>
            <w:vMerge w:val="restart"/>
            <w:tcBorders>
              <w:top w:val="single" w:color="00B050" w:sz="8" w:space="0"/>
              <w:left w:val="dotted" w:color="00B050" w:sz="8" w:space="0"/>
              <w:right w:val="dotted" w:color="00B050" w:sz="8" w:space="0"/>
            </w:tcBorders>
            <w:shd w:val="clear" w:color="auto" w:fill="auto"/>
            <w:vAlign w:val="bottom"/>
          </w:tcPr>
          <w:p>
            <w:pPr>
              <w:pStyle w:val="52"/>
              <w:jc w:val="left"/>
              <w:rPr>
                <w:kern w:val="0"/>
              </w:rPr>
            </w:pPr>
          </w:p>
        </w:tc>
        <w:tc>
          <w:tcPr>
            <w:tcW w:w="1225" w:type="dxa"/>
            <w:gridSpan w:val="2"/>
            <w:tcBorders>
              <w:top w:val="single" w:color="00B050" w:sz="8" w:space="0"/>
              <w:left w:val="dotted" w:color="00B050" w:sz="8" w:space="0"/>
              <w:right w:val="dotted" w:color="00B050" w:sz="8" w:space="0"/>
            </w:tcBorders>
          </w:tcPr>
          <w:p>
            <w:pPr>
              <w:pStyle w:val="52"/>
              <w:jc w:val="center"/>
              <w:rPr>
                <w:kern w:val="0"/>
              </w:rPr>
            </w:pPr>
            <w:r>
              <w:rPr>
                <w:rFonts w:hint="eastAsia"/>
                <w:kern w:val="0"/>
              </w:rPr>
              <w:t>男生</w:t>
            </w:r>
          </w:p>
        </w:tc>
        <w:tc>
          <w:tcPr>
            <w:tcW w:w="1225" w:type="dxa"/>
            <w:gridSpan w:val="2"/>
            <w:tcBorders>
              <w:top w:val="single" w:color="00B050" w:sz="8" w:space="0"/>
              <w:left w:val="dotted" w:color="00B050" w:sz="8" w:space="0"/>
              <w:right w:val="single" w:color="00B050" w:sz="8" w:space="0"/>
            </w:tcBorders>
          </w:tcPr>
          <w:p>
            <w:pPr>
              <w:pStyle w:val="52"/>
              <w:jc w:val="center"/>
              <w:rPr>
                <w:kern w:val="0"/>
              </w:rPr>
            </w:pPr>
            <w:r>
              <w:rPr>
                <w:rFonts w:hint="eastAsia"/>
                <w:kern w:val="0"/>
              </w:rPr>
              <w:t>女生</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right w:val="dotted" w:color="00B050" w:sz="8" w:space="0"/>
            </w:tcBorders>
            <w:shd w:val="clear" w:color="auto" w:fill="auto"/>
            <w:vAlign w:val="bottom"/>
          </w:tcPr>
          <w:p>
            <w:pPr>
              <w:pStyle w:val="52"/>
              <w:rPr>
                <w:kern w:val="0"/>
              </w:rPr>
            </w:pPr>
          </w:p>
        </w:tc>
        <w:tc>
          <w:tcPr>
            <w:tcW w:w="1225" w:type="dxa"/>
            <w:gridSpan w:val="2"/>
            <w:tcBorders>
              <w:left w:val="dotted" w:color="00B050" w:sz="8" w:space="0"/>
              <w:bottom w:val="single" w:color="00B050" w:sz="8" w:space="0"/>
              <w:right w:val="dotted" w:color="00B050" w:sz="8" w:space="0"/>
            </w:tcBorders>
          </w:tcPr>
          <w:p>
            <w:pPr>
              <w:pStyle w:val="52"/>
              <w:jc w:val="center"/>
              <w:rPr>
                <w:kern w:val="0"/>
              </w:rPr>
            </w:pPr>
            <w:r>
              <w:rPr>
                <w:rFonts w:hint="eastAsia"/>
                <w:kern w:val="0"/>
              </w:rPr>
              <w:t>（N=221）</w:t>
            </w:r>
          </w:p>
        </w:tc>
        <w:tc>
          <w:tcPr>
            <w:tcW w:w="1225" w:type="dxa"/>
            <w:gridSpan w:val="2"/>
            <w:tcBorders>
              <w:left w:val="dotted" w:color="00B050" w:sz="8" w:space="0"/>
              <w:bottom w:val="single" w:color="00B050" w:sz="8" w:space="0"/>
              <w:right w:val="single" w:color="00B050" w:sz="8" w:space="0"/>
            </w:tcBorders>
          </w:tcPr>
          <w:p>
            <w:pPr>
              <w:pStyle w:val="52"/>
              <w:jc w:val="center"/>
              <w:rPr>
                <w:kern w:val="0"/>
              </w:rPr>
            </w:pPr>
            <w:r>
              <w:rPr>
                <w:rFonts w:hint="eastAsia"/>
                <w:kern w:val="0"/>
              </w:rPr>
              <w:t>（N=349）</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bottom w:val="single" w:color="00B050" w:sz="8" w:space="0"/>
              <w:right w:val="dotted" w:color="00B050" w:sz="8" w:space="0"/>
            </w:tcBorders>
            <w:shd w:val="clear" w:color="auto" w:fill="auto"/>
            <w:vAlign w:val="bottom"/>
          </w:tcPr>
          <w:p>
            <w:pPr>
              <w:pStyle w:val="52"/>
              <w:rPr>
                <w:kern w:val="0"/>
              </w:rPr>
            </w:pP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dotted" w:color="00B050" w:sz="8" w:space="0"/>
            </w:tcBorders>
          </w:tcPr>
          <w:p>
            <w:pPr>
              <w:pStyle w:val="52"/>
              <w:jc w:val="center"/>
              <w:rPr>
                <w:kern w:val="0"/>
              </w:rPr>
            </w:pPr>
            <w:r>
              <w:rPr>
                <w:kern w:val="0"/>
              </w:rPr>
              <w:t>%</w:t>
            </w: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single" w:color="00B050" w:sz="8" w:space="0"/>
            </w:tcBorders>
            <w:shd w:val="clear" w:color="auto" w:fill="auto"/>
            <w:vAlign w:val="center"/>
          </w:tcPr>
          <w:p>
            <w:pPr>
              <w:pStyle w:val="52"/>
              <w:jc w:val="center"/>
              <w:rPr>
                <w:kern w:val="0"/>
              </w:rPr>
            </w:pPr>
            <w:r>
              <w:rPr>
                <w:rFonts w:hint="eastAsia"/>
                <w:kern w:val="0"/>
              </w:rPr>
              <w:t>%</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rPr>
                <w:kern w:val="0"/>
              </w:rPr>
            </w:pPr>
            <w:r>
              <w:rPr>
                <w:rFonts w:hint="eastAsia"/>
                <w:kern w:val="0"/>
              </w:rPr>
              <w:t>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签署三方协议</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26</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11.8</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14.9</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签订劳动合同</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18</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8.1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43</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12.3</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单位开具用人证明</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3.2</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5.7</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自由职业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137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62.0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179</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51.3</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自主创业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3.2</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6</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1.7</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国内升学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3.2</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26</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7.4</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出国（境）留学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1.4</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3.4</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rPr>
                <w:kern w:val="0"/>
              </w:rPr>
            </w:pPr>
            <w:r>
              <w:rPr>
                <w:rFonts w:hint="eastAsia"/>
                <w:kern w:val="0"/>
              </w:rPr>
              <w:t>未就业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求职中</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11</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0.9</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拟升学不就业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0.9</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0.6</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拟出国不就业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1.4</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1.1</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暂不就业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0.6</w:t>
            </w:r>
          </w:p>
        </w:tc>
      </w:tr>
    </w:tbl>
    <w:p>
      <w:pPr>
        <w:pStyle w:val="52"/>
      </w:pPr>
    </w:p>
    <w:p>
      <w:pPr>
        <w:pStyle w:val="67"/>
      </w:pPr>
      <w:bookmarkStart w:id="17" w:name="_Toc406677042"/>
      <w:r>
        <w:t>（</w:t>
      </w:r>
      <w:r>
        <w:rPr>
          <w:rFonts w:hint="eastAsia"/>
        </w:rPr>
        <w:t>3</w:t>
      </w:r>
      <w:r>
        <w:t>）</w:t>
      </w:r>
      <w:r>
        <w:rPr>
          <w:rFonts w:hint="eastAsia"/>
        </w:rPr>
        <w:t>不同生源地毕业生</w:t>
      </w:r>
      <w:bookmarkEnd w:id="17"/>
      <w:r>
        <w:rPr>
          <w:rFonts w:hint="eastAsia"/>
        </w:rPr>
        <w:t>就业率</w:t>
      </w:r>
    </w:p>
    <w:p>
      <w:pPr>
        <w:pStyle w:val="37"/>
        <w:ind w:firstLine="480"/>
      </w:pPr>
      <w:bookmarkStart w:id="18" w:name="PO_223"/>
      <w:bookmarkEnd w:id="18"/>
      <w:bookmarkStart w:id="19" w:name="_Toc406677043"/>
      <w:r>
        <w:rPr>
          <w:rFonts w:hint="eastAsia"/>
        </w:rPr>
        <w:t>数据显示，本校2016届毕业生中北京生源、京外生源的就业率分别为96.9%和95.1%，北京生源就业率比京外生源高1.8个百分点。北京生源与用人单位签署三方协议的比例比京外生源高26.8个百分点，北京生源与用人单位签订劳动合同的比例比京外生源低1.5个百分点，北京生源由用人单位开具用人证明的比例比京外生源低1.8个百分点，北京生源从事自由职业的比例比京外生源低23.7个百分点，北京生源自主创业的比例比京外生源高4.5个百分点，北京生源国内升学的比例比京外生源低3.0个百分点。</w:t>
      </w:r>
    </w:p>
    <w:p>
      <w:pPr>
        <w:pStyle w:val="53"/>
        <w:spacing w:before="312" w:after="156"/>
      </w:pPr>
      <w:r>
        <w:rPr>
          <w:rFonts w:hint="eastAsia"/>
        </w:rPr>
        <w:t>不同生源地毕业生毕业去向</w:t>
      </w:r>
    </w:p>
    <w:tbl>
      <w:tblPr>
        <w:tblStyle w:val="33"/>
        <w:tblW w:w="5192" w:type="dxa"/>
        <w:jc w:val="center"/>
        <w:tblInd w:w="0" w:type="dxa"/>
        <w:tblLayout w:type="fixed"/>
        <w:tblCellMar>
          <w:top w:w="0" w:type="dxa"/>
          <w:left w:w="108" w:type="dxa"/>
          <w:bottom w:w="0" w:type="dxa"/>
          <w:right w:w="108" w:type="dxa"/>
        </w:tblCellMar>
      </w:tblPr>
      <w:tblGrid>
        <w:gridCol w:w="846"/>
        <w:gridCol w:w="1896"/>
        <w:gridCol w:w="636"/>
        <w:gridCol w:w="589"/>
        <w:gridCol w:w="636"/>
        <w:gridCol w:w="589"/>
      </w:tblGrid>
      <w:tr>
        <w:tblPrEx>
          <w:tblLayout w:type="fixed"/>
          <w:tblCellMar>
            <w:top w:w="0" w:type="dxa"/>
            <w:left w:w="108" w:type="dxa"/>
            <w:bottom w:w="0" w:type="dxa"/>
            <w:right w:w="108" w:type="dxa"/>
          </w:tblCellMar>
        </w:tblPrEx>
        <w:trPr>
          <w:trHeight w:val="315"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bottom"/>
          </w:tcPr>
          <w:p>
            <w:pPr>
              <w:pStyle w:val="52"/>
              <w:ind w:firstLine="480"/>
              <w:jc w:val="left"/>
              <w:rPr>
                <w:kern w:val="0"/>
              </w:rPr>
            </w:pPr>
          </w:p>
        </w:tc>
        <w:tc>
          <w:tcPr>
            <w:tcW w:w="1896" w:type="dxa"/>
            <w:vMerge w:val="restart"/>
            <w:tcBorders>
              <w:top w:val="single" w:color="00B050" w:sz="8" w:space="0"/>
              <w:left w:val="dotted" w:color="00B050" w:sz="8" w:space="0"/>
              <w:right w:val="dotted" w:color="00B050" w:sz="8" w:space="0"/>
            </w:tcBorders>
            <w:shd w:val="clear" w:color="auto" w:fill="auto"/>
            <w:vAlign w:val="bottom"/>
          </w:tcPr>
          <w:p>
            <w:pPr>
              <w:pStyle w:val="52"/>
              <w:jc w:val="left"/>
              <w:rPr>
                <w:kern w:val="0"/>
              </w:rPr>
            </w:pPr>
          </w:p>
        </w:tc>
        <w:tc>
          <w:tcPr>
            <w:tcW w:w="1225" w:type="dxa"/>
            <w:gridSpan w:val="2"/>
            <w:tcBorders>
              <w:top w:val="single" w:color="00B050" w:sz="8" w:space="0"/>
              <w:left w:val="dotted" w:color="00B050" w:sz="8" w:space="0"/>
              <w:right w:val="dotted" w:color="00B050" w:sz="8" w:space="0"/>
            </w:tcBorders>
          </w:tcPr>
          <w:p>
            <w:pPr>
              <w:pStyle w:val="52"/>
              <w:jc w:val="center"/>
              <w:rPr>
                <w:kern w:val="0"/>
              </w:rPr>
            </w:pPr>
            <w:r>
              <w:rPr>
                <w:rFonts w:hint="eastAsia"/>
                <w:kern w:val="0"/>
              </w:rPr>
              <w:t>北京生源</w:t>
            </w:r>
          </w:p>
        </w:tc>
        <w:tc>
          <w:tcPr>
            <w:tcW w:w="1225" w:type="dxa"/>
            <w:gridSpan w:val="2"/>
            <w:tcBorders>
              <w:top w:val="single" w:color="00B050" w:sz="8" w:space="0"/>
              <w:left w:val="dotted" w:color="00B050" w:sz="8" w:space="0"/>
              <w:right w:val="single" w:color="00B050" w:sz="8" w:space="0"/>
            </w:tcBorders>
          </w:tcPr>
          <w:p>
            <w:pPr>
              <w:pStyle w:val="52"/>
              <w:jc w:val="center"/>
              <w:rPr>
                <w:kern w:val="0"/>
              </w:rPr>
            </w:pPr>
            <w:r>
              <w:rPr>
                <w:rFonts w:hint="eastAsia"/>
                <w:kern w:val="0"/>
              </w:rPr>
              <w:t>京外生源</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right w:val="dotted" w:color="00B050" w:sz="8" w:space="0"/>
            </w:tcBorders>
            <w:shd w:val="clear" w:color="auto" w:fill="auto"/>
            <w:vAlign w:val="bottom"/>
          </w:tcPr>
          <w:p>
            <w:pPr>
              <w:pStyle w:val="52"/>
              <w:rPr>
                <w:kern w:val="0"/>
              </w:rPr>
            </w:pPr>
          </w:p>
        </w:tc>
        <w:tc>
          <w:tcPr>
            <w:tcW w:w="1225" w:type="dxa"/>
            <w:gridSpan w:val="2"/>
            <w:tcBorders>
              <w:left w:val="dotted" w:color="00B050" w:sz="8" w:space="0"/>
              <w:bottom w:val="single" w:color="00B050" w:sz="8" w:space="0"/>
              <w:right w:val="dotted" w:color="00B050" w:sz="8" w:space="0"/>
            </w:tcBorders>
          </w:tcPr>
          <w:p>
            <w:pPr>
              <w:pStyle w:val="52"/>
              <w:jc w:val="center"/>
              <w:rPr>
                <w:kern w:val="0"/>
              </w:rPr>
            </w:pPr>
            <w:r>
              <w:rPr>
                <w:rFonts w:hint="eastAsia"/>
                <w:kern w:val="0"/>
              </w:rPr>
              <w:t>（N=64）</w:t>
            </w:r>
          </w:p>
        </w:tc>
        <w:tc>
          <w:tcPr>
            <w:tcW w:w="1225" w:type="dxa"/>
            <w:gridSpan w:val="2"/>
            <w:tcBorders>
              <w:left w:val="dotted" w:color="00B050" w:sz="8" w:space="0"/>
              <w:bottom w:val="single" w:color="00B050" w:sz="8" w:space="0"/>
              <w:right w:val="single" w:color="00B050" w:sz="8" w:space="0"/>
            </w:tcBorders>
          </w:tcPr>
          <w:p>
            <w:pPr>
              <w:pStyle w:val="52"/>
              <w:jc w:val="center"/>
              <w:rPr>
                <w:kern w:val="0"/>
              </w:rPr>
            </w:pPr>
            <w:r>
              <w:rPr>
                <w:rFonts w:hint="eastAsia"/>
                <w:kern w:val="0"/>
              </w:rPr>
              <w:t>（N=506）</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bottom w:val="single" w:color="00B050" w:sz="8" w:space="0"/>
              <w:right w:val="dotted" w:color="00B050" w:sz="8" w:space="0"/>
            </w:tcBorders>
            <w:shd w:val="clear" w:color="auto" w:fill="auto"/>
            <w:vAlign w:val="bottom"/>
          </w:tcPr>
          <w:p>
            <w:pPr>
              <w:pStyle w:val="52"/>
              <w:rPr>
                <w:kern w:val="0"/>
              </w:rPr>
            </w:pP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dotted" w:color="00B050" w:sz="8" w:space="0"/>
            </w:tcBorders>
          </w:tcPr>
          <w:p>
            <w:pPr>
              <w:pStyle w:val="52"/>
              <w:jc w:val="center"/>
              <w:rPr>
                <w:kern w:val="0"/>
              </w:rPr>
            </w:pPr>
            <w:r>
              <w:rPr>
                <w:kern w:val="0"/>
              </w:rPr>
              <w:t>%</w:t>
            </w: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single" w:color="00B050" w:sz="8" w:space="0"/>
            </w:tcBorders>
            <w:shd w:val="clear" w:color="auto" w:fill="auto"/>
            <w:vAlign w:val="center"/>
          </w:tcPr>
          <w:p>
            <w:pPr>
              <w:pStyle w:val="52"/>
              <w:jc w:val="center"/>
              <w:rPr>
                <w:kern w:val="0"/>
              </w:rPr>
            </w:pPr>
            <w:r>
              <w:rPr>
                <w:rFonts w:hint="eastAsia"/>
                <w:kern w:val="0"/>
              </w:rPr>
              <w:t>%</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rPr>
                <w:kern w:val="0"/>
              </w:rPr>
            </w:pPr>
            <w:r>
              <w:rPr>
                <w:rFonts w:hint="eastAsia"/>
                <w:kern w:val="0"/>
              </w:rPr>
              <w:t>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签署三方协议</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24</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37.5</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10.7</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签订劳动合同</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6</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9.4</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55</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10.9</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单位开具用人证明</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25</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4.9</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自由职业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34.4</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294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58.1</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自主创业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6.3</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9</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1.8</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国内升学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31</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6.1</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出国（境）留学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13</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2.6</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rPr>
                <w:kern w:val="0"/>
              </w:rPr>
            </w:pPr>
            <w:r>
              <w:rPr>
                <w:rFonts w:hint="eastAsia"/>
                <w:kern w:val="0"/>
              </w:rPr>
              <w:t>未就业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求职中</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2.4</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拟升学不就业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0.8</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拟出国不就业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1.4</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暂不就业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0.4</w:t>
            </w:r>
          </w:p>
        </w:tc>
      </w:tr>
    </w:tbl>
    <w:p>
      <w:pPr>
        <w:pStyle w:val="52"/>
      </w:pPr>
    </w:p>
    <w:p>
      <w:pPr>
        <w:pStyle w:val="67"/>
      </w:pPr>
      <w:r>
        <w:rPr>
          <w:rFonts w:hint="eastAsia"/>
        </w:rPr>
        <w:t>（4）不同学历层次毕业生</w:t>
      </w:r>
      <w:bookmarkEnd w:id="19"/>
      <w:r>
        <w:rPr>
          <w:rFonts w:hint="eastAsia"/>
        </w:rPr>
        <w:t>就业率</w:t>
      </w:r>
    </w:p>
    <w:p>
      <w:pPr>
        <w:pStyle w:val="37"/>
        <w:ind w:firstLine="480"/>
      </w:pPr>
      <w:bookmarkStart w:id="20" w:name="PO_224"/>
      <w:bookmarkEnd w:id="20"/>
      <w:bookmarkStart w:id="21" w:name="_Toc399157313"/>
      <w:bookmarkStart w:id="22" w:name="_Toc406677044"/>
      <w:r>
        <w:rPr>
          <w:rFonts w:hint="eastAsia"/>
        </w:rPr>
        <w:t>数据显示，本校2016届毕业生中专科生、本科生、研究生的就业率分别为93.8%、94.0%、100.0%，研究生的比例最高，为100.0%；专科生的比例最低，为93.8%。</w:t>
      </w:r>
    </w:p>
    <w:p>
      <w:pPr>
        <w:pStyle w:val="37"/>
        <w:ind w:firstLine="480"/>
      </w:pPr>
      <w:r>
        <w:rPr>
          <w:rFonts w:hint="eastAsia"/>
        </w:rPr>
        <w:t>研究生与用人单位签署三方协议的比例最高，专科生与用人单位签署三方协议的比例最低；本科生与用人单位签订劳动合同的比例最高；研究生由用人单位开具用人证明的比例最高；专科生从事自由职业的比例最高，研究生从事自由职业的比例最低；研究生自主创业的比例最高，专科生自主创业的比例最低；本科生国内升学的比例最高；本科生出国（境）留学的比例最高。</w:t>
      </w:r>
    </w:p>
    <w:p>
      <w:pPr>
        <w:pStyle w:val="53"/>
        <w:spacing w:before="312" w:after="156"/>
      </w:pPr>
      <w:r>
        <w:rPr>
          <w:rFonts w:hint="eastAsia"/>
        </w:rPr>
        <w:t>不同学历层次毕业生毕业去向</w:t>
      </w:r>
    </w:p>
    <w:tbl>
      <w:tblPr>
        <w:tblStyle w:val="33"/>
        <w:tblW w:w="6417" w:type="dxa"/>
        <w:jc w:val="center"/>
        <w:tblInd w:w="0" w:type="dxa"/>
        <w:tblLayout w:type="fixed"/>
        <w:tblCellMar>
          <w:top w:w="0" w:type="dxa"/>
          <w:left w:w="108" w:type="dxa"/>
          <w:bottom w:w="0" w:type="dxa"/>
          <w:right w:w="108" w:type="dxa"/>
        </w:tblCellMar>
      </w:tblPr>
      <w:tblGrid>
        <w:gridCol w:w="846"/>
        <w:gridCol w:w="1896"/>
        <w:gridCol w:w="636"/>
        <w:gridCol w:w="589"/>
        <w:gridCol w:w="636"/>
        <w:gridCol w:w="589"/>
        <w:gridCol w:w="636"/>
        <w:gridCol w:w="589"/>
      </w:tblGrid>
      <w:tr>
        <w:tblPrEx>
          <w:tblLayout w:type="fixed"/>
          <w:tblCellMar>
            <w:top w:w="0" w:type="dxa"/>
            <w:left w:w="108" w:type="dxa"/>
            <w:bottom w:w="0" w:type="dxa"/>
            <w:right w:w="108" w:type="dxa"/>
          </w:tblCellMar>
        </w:tblPrEx>
        <w:trPr>
          <w:trHeight w:val="315"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bottom"/>
          </w:tcPr>
          <w:p>
            <w:pPr>
              <w:pStyle w:val="52"/>
              <w:ind w:firstLine="480"/>
              <w:jc w:val="left"/>
              <w:rPr>
                <w:kern w:val="0"/>
              </w:rPr>
            </w:pPr>
          </w:p>
        </w:tc>
        <w:tc>
          <w:tcPr>
            <w:tcW w:w="1896" w:type="dxa"/>
            <w:vMerge w:val="restart"/>
            <w:tcBorders>
              <w:top w:val="single" w:color="00B050" w:sz="8" w:space="0"/>
              <w:left w:val="dotted" w:color="00B050" w:sz="8" w:space="0"/>
              <w:right w:val="dotted" w:color="00B050" w:sz="8" w:space="0"/>
            </w:tcBorders>
            <w:shd w:val="clear" w:color="auto" w:fill="auto"/>
            <w:vAlign w:val="bottom"/>
          </w:tcPr>
          <w:p>
            <w:pPr>
              <w:pStyle w:val="52"/>
              <w:jc w:val="left"/>
              <w:rPr>
                <w:kern w:val="0"/>
              </w:rPr>
            </w:pPr>
          </w:p>
        </w:tc>
        <w:tc>
          <w:tcPr>
            <w:tcW w:w="1225" w:type="dxa"/>
            <w:gridSpan w:val="2"/>
            <w:tcBorders>
              <w:top w:val="single" w:color="00B050" w:sz="8" w:space="0"/>
              <w:left w:val="dotted" w:color="00B050" w:sz="8" w:space="0"/>
              <w:right w:val="dotted" w:color="00B050" w:sz="8" w:space="0"/>
            </w:tcBorders>
          </w:tcPr>
          <w:p>
            <w:pPr>
              <w:pStyle w:val="52"/>
              <w:jc w:val="center"/>
              <w:rPr>
                <w:kern w:val="0"/>
              </w:rPr>
            </w:pPr>
            <w:r>
              <w:rPr>
                <w:rFonts w:hint="eastAsia"/>
                <w:kern w:val="0"/>
              </w:rPr>
              <w:t>专科生</w:t>
            </w:r>
          </w:p>
        </w:tc>
        <w:tc>
          <w:tcPr>
            <w:tcW w:w="1225" w:type="dxa"/>
            <w:gridSpan w:val="2"/>
            <w:tcBorders>
              <w:top w:val="single" w:color="00B050" w:sz="8" w:space="0"/>
              <w:left w:val="dotted" w:color="00B050" w:sz="8" w:space="0"/>
              <w:right w:val="dotted" w:color="00B050" w:sz="8" w:space="0"/>
            </w:tcBorders>
          </w:tcPr>
          <w:p>
            <w:pPr>
              <w:pStyle w:val="52"/>
              <w:jc w:val="center"/>
              <w:rPr>
                <w:kern w:val="0"/>
              </w:rPr>
            </w:pPr>
            <w:r>
              <w:rPr>
                <w:rFonts w:hint="eastAsia"/>
                <w:kern w:val="0"/>
              </w:rPr>
              <w:t>本科生</w:t>
            </w:r>
          </w:p>
        </w:tc>
        <w:tc>
          <w:tcPr>
            <w:tcW w:w="1225" w:type="dxa"/>
            <w:gridSpan w:val="2"/>
            <w:tcBorders>
              <w:top w:val="single" w:color="00B050" w:sz="8" w:space="0"/>
              <w:left w:val="dotted" w:color="00B050" w:sz="8" w:space="0"/>
              <w:right w:val="single" w:color="00B050" w:sz="8" w:space="0"/>
            </w:tcBorders>
          </w:tcPr>
          <w:p>
            <w:pPr>
              <w:pStyle w:val="52"/>
              <w:jc w:val="center"/>
              <w:rPr>
                <w:kern w:val="0"/>
              </w:rPr>
            </w:pPr>
            <w:r>
              <w:rPr>
                <w:rFonts w:hint="eastAsia"/>
                <w:kern w:val="0"/>
              </w:rPr>
              <w:t>研究生</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right w:val="dotted" w:color="00B050" w:sz="8" w:space="0"/>
            </w:tcBorders>
            <w:shd w:val="clear" w:color="auto" w:fill="auto"/>
            <w:vAlign w:val="bottom"/>
          </w:tcPr>
          <w:p>
            <w:pPr>
              <w:pStyle w:val="52"/>
              <w:rPr>
                <w:kern w:val="0"/>
              </w:rPr>
            </w:pPr>
          </w:p>
        </w:tc>
        <w:tc>
          <w:tcPr>
            <w:tcW w:w="1225" w:type="dxa"/>
            <w:gridSpan w:val="2"/>
            <w:tcBorders>
              <w:left w:val="dotted" w:color="00B050" w:sz="8" w:space="0"/>
              <w:bottom w:val="single" w:color="00B050" w:sz="8" w:space="0"/>
              <w:right w:val="dotted" w:color="00B050" w:sz="8" w:space="0"/>
            </w:tcBorders>
          </w:tcPr>
          <w:p>
            <w:pPr>
              <w:pStyle w:val="52"/>
              <w:jc w:val="center"/>
              <w:rPr>
                <w:kern w:val="0"/>
              </w:rPr>
            </w:pPr>
            <w:r>
              <w:rPr>
                <w:rFonts w:hint="eastAsia"/>
                <w:kern w:val="0"/>
              </w:rPr>
              <w:t>（N=96）</w:t>
            </w:r>
          </w:p>
        </w:tc>
        <w:tc>
          <w:tcPr>
            <w:tcW w:w="1225" w:type="dxa"/>
            <w:gridSpan w:val="2"/>
            <w:tcBorders>
              <w:left w:val="dotted" w:color="00B050" w:sz="8" w:space="0"/>
              <w:bottom w:val="single" w:color="00B050" w:sz="8" w:space="0"/>
              <w:right w:val="dotted" w:color="00B050" w:sz="8" w:space="0"/>
            </w:tcBorders>
          </w:tcPr>
          <w:p>
            <w:pPr>
              <w:pStyle w:val="52"/>
              <w:jc w:val="center"/>
              <w:rPr>
                <w:kern w:val="0"/>
              </w:rPr>
            </w:pPr>
            <w:r>
              <w:rPr>
                <w:rFonts w:hint="eastAsia"/>
                <w:kern w:val="0"/>
              </w:rPr>
              <w:t>（N=348）</w:t>
            </w:r>
          </w:p>
        </w:tc>
        <w:tc>
          <w:tcPr>
            <w:tcW w:w="1225" w:type="dxa"/>
            <w:gridSpan w:val="2"/>
            <w:tcBorders>
              <w:left w:val="dotted" w:color="00B050" w:sz="8" w:space="0"/>
              <w:bottom w:val="single" w:color="00B050" w:sz="8" w:space="0"/>
              <w:right w:val="single" w:color="00B050" w:sz="8" w:space="0"/>
            </w:tcBorders>
          </w:tcPr>
          <w:p>
            <w:pPr>
              <w:pStyle w:val="52"/>
              <w:jc w:val="center"/>
              <w:rPr>
                <w:kern w:val="0"/>
              </w:rPr>
            </w:pPr>
            <w:r>
              <w:rPr>
                <w:rFonts w:hint="eastAsia"/>
                <w:kern w:val="0"/>
              </w:rPr>
              <w:t>（N=126）</w:t>
            </w:r>
          </w:p>
        </w:tc>
      </w:tr>
      <w:tr>
        <w:tblPrEx>
          <w:tblLayout w:type="fixed"/>
          <w:tblCellMar>
            <w:top w:w="0" w:type="dxa"/>
            <w:left w:w="108" w:type="dxa"/>
            <w:bottom w:w="0" w:type="dxa"/>
            <w:right w:w="108" w:type="dxa"/>
          </w:tblCellMar>
        </w:tblPrEx>
        <w:trPr>
          <w:trHeight w:val="315"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bottom"/>
          </w:tcPr>
          <w:p>
            <w:pPr>
              <w:pStyle w:val="52"/>
              <w:rPr>
                <w:kern w:val="0"/>
              </w:rPr>
            </w:pPr>
          </w:p>
        </w:tc>
        <w:tc>
          <w:tcPr>
            <w:tcW w:w="1896" w:type="dxa"/>
            <w:vMerge w:val="continue"/>
            <w:tcBorders>
              <w:left w:val="dotted" w:color="00B050" w:sz="8" w:space="0"/>
              <w:bottom w:val="single" w:color="00B050" w:sz="8" w:space="0"/>
              <w:right w:val="dotted" w:color="00B050" w:sz="8" w:space="0"/>
            </w:tcBorders>
            <w:shd w:val="clear" w:color="auto" w:fill="auto"/>
            <w:vAlign w:val="bottom"/>
          </w:tcPr>
          <w:p>
            <w:pPr>
              <w:pStyle w:val="52"/>
              <w:rPr>
                <w:kern w:val="0"/>
              </w:rPr>
            </w:pP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dotted" w:color="00B050" w:sz="8" w:space="0"/>
            </w:tcBorders>
          </w:tcPr>
          <w:p>
            <w:pPr>
              <w:pStyle w:val="52"/>
              <w:jc w:val="center"/>
              <w:rPr>
                <w:kern w:val="0"/>
              </w:rPr>
            </w:pPr>
            <w:r>
              <w:rPr>
                <w:kern w:val="0"/>
              </w:rPr>
              <w:t>%</w:t>
            </w: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dotted" w:color="00B050" w:sz="8" w:space="0"/>
            </w:tcBorders>
          </w:tcPr>
          <w:p>
            <w:pPr>
              <w:pStyle w:val="52"/>
              <w:jc w:val="center"/>
              <w:rPr>
                <w:kern w:val="0"/>
              </w:rPr>
            </w:pPr>
            <w:r>
              <w:rPr>
                <w:kern w:val="0"/>
              </w:rPr>
              <w:t>%</w:t>
            </w:r>
          </w:p>
        </w:tc>
        <w:tc>
          <w:tcPr>
            <w:tcW w:w="636" w:type="dxa"/>
            <w:tcBorders>
              <w:left w:val="dotted" w:color="00B050" w:sz="8" w:space="0"/>
              <w:bottom w:val="single" w:color="00B050" w:sz="8" w:space="0"/>
              <w:right w:val="dotted" w:color="00B050" w:sz="8" w:space="0"/>
            </w:tcBorders>
          </w:tcPr>
          <w:p>
            <w:pPr>
              <w:pStyle w:val="52"/>
              <w:jc w:val="center"/>
              <w:rPr>
                <w:kern w:val="0"/>
              </w:rPr>
            </w:pPr>
            <w:r>
              <w:rPr>
                <w:rFonts w:hint="eastAsia"/>
                <w:kern w:val="0"/>
              </w:rPr>
              <w:t>人数</w:t>
            </w:r>
          </w:p>
        </w:tc>
        <w:tc>
          <w:tcPr>
            <w:tcW w:w="589" w:type="dxa"/>
            <w:tcBorders>
              <w:left w:val="dotted" w:color="00B050" w:sz="8" w:space="0"/>
              <w:bottom w:val="single" w:color="00B050" w:sz="8" w:space="0"/>
              <w:right w:val="single" w:color="00B050" w:sz="8" w:space="0"/>
            </w:tcBorders>
            <w:shd w:val="clear" w:color="auto" w:fill="auto"/>
            <w:vAlign w:val="center"/>
          </w:tcPr>
          <w:p>
            <w:pPr>
              <w:pStyle w:val="52"/>
              <w:jc w:val="center"/>
              <w:rPr>
                <w:kern w:val="0"/>
              </w:rPr>
            </w:pPr>
            <w:r>
              <w:rPr>
                <w:rFonts w:hint="eastAsia"/>
                <w:kern w:val="0"/>
              </w:rPr>
              <w:t>%</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rPr>
                <w:kern w:val="0"/>
              </w:rPr>
            </w:pPr>
            <w:r>
              <w:rPr>
                <w:rFonts w:hint="eastAsia"/>
                <w:kern w:val="0"/>
              </w:rPr>
              <w:t>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签署三方协议</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33</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9.5</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34.9</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签订劳动合同</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13.5</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14</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11.1</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单位开具用人证明</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1.4</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22</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17.5</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自由职业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87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90.6</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196</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56.3</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33</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26.2</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自主创业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4.0</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国内升学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25</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7.2</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8</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6.3</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出国（境）留学</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14</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0.0</w:t>
            </w:r>
          </w:p>
        </w:tc>
      </w:tr>
      <w:tr>
        <w:tblPrEx>
          <w:tblLayout w:type="fixed"/>
          <w:tblCellMar>
            <w:top w:w="0" w:type="dxa"/>
            <w:left w:w="108" w:type="dxa"/>
            <w:bottom w:w="0" w:type="dxa"/>
            <w:right w:w="108" w:type="dxa"/>
          </w:tblCellMar>
        </w:tblPrEx>
        <w:trPr>
          <w:trHeight w:val="300" w:hRule="atLeast"/>
          <w:jc w:val="center"/>
        </w:trPr>
        <w:tc>
          <w:tcPr>
            <w:tcW w:w="846" w:type="dxa"/>
            <w:vMerge w:val="restart"/>
            <w:tcBorders>
              <w:top w:val="single" w:color="00B050" w:sz="8" w:space="0"/>
              <w:left w:val="single" w:color="00B050" w:sz="8" w:space="0"/>
              <w:right w:val="dotted" w:color="00B050" w:sz="8" w:space="0"/>
            </w:tcBorders>
            <w:shd w:val="clear" w:color="auto" w:fill="auto"/>
            <w:vAlign w:val="center"/>
          </w:tcPr>
          <w:p>
            <w:pPr>
              <w:pStyle w:val="52"/>
              <w:rPr>
                <w:kern w:val="0"/>
              </w:rPr>
            </w:pPr>
            <w:r>
              <w:rPr>
                <w:rFonts w:hint="eastAsia"/>
                <w:kern w:val="0"/>
              </w:rPr>
              <w:t>未就业</w:t>
            </w: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求职中</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5.2</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9</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2.6</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0.0</w:t>
            </w:r>
          </w:p>
        </w:tc>
      </w:tr>
      <w:tr>
        <w:tblPrEx>
          <w:tblLayout w:type="fixed"/>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拟升学不就业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1.1</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0.0</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拟出国不就业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6</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1.7</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0.0</w:t>
            </w:r>
          </w:p>
        </w:tc>
      </w:tr>
      <w:tr>
        <w:tblPrEx>
          <w:tblLayout w:type="fixed"/>
          <w:tblCellMar>
            <w:top w:w="0" w:type="dxa"/>
            <w:left w:w="108" w:type="dxa"/>
            <w:bottom w:w="0" w:type="dxa"/>
            <w:right w:w="108" w:type="dxa"/>
          </w:tblCellMar>
        </w:tblPrEx>
        <w:trPr>
          <w:trHeight w:val="300" w:hRule="atLeast"/>
          <w:jc w:val="center"/>
        </w:trPr>
        <w:tc>
          <w:tcPr>
            <w:tcW w:w="846" w:type="dxa"/>
            <w:vMerge w:val="continue"/>
            <w:tcBorders>
              <w:left w:val="single" w:color="00B050" w:sz="8" w:space="0"/>
              <w:bottom w:val="single" w:color="00B050" w:sz="8" w:space="0"/>
              <w:right w:val="dotted" w:color="00B050" w:sz="8" w:space="0"/>
            </w:tcBorders>
            <w:shd w:val="clear" w:color="auto" w:fill="auto"/>
            <w:vAlign w:val="center"/>
          </w:tcPr>
          <w:p>
            <w:pPr>
              <w:pStyle w:val="52"/>
              <w:rPr>
                <w:kern w:val="0"/>
              </w:rPr>
            </w:pPr>
          </w:p>
        </w:tc>
        <w:tc>
          <w:tcPr>
            <w:tcW w:w="189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rPr>
                <w:kern w:val="0"/>
              </w:rPr>
            </w:pPr>
            <w:r>
              <w:rPr>
                <w:rFonts w:hint="eastAsia"/>
                <w:kern w:val="0"/>
              </w:rPr>
              <w:t>暂不就业</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0.6</w:t>
            </w:r>
          </w:p>
        </w:tc>
        <w:tc>
          <w:tcPr>
            <w:tcW w:w="6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0.0</w:t>
            </w:r>
          </w:p>
        </w:tc>
      </w:tr>
    </w:tbl>
    <w:p>
      <w:pPr>
        <w:pStyle w:val="52"/>
      </w:pPr>
    </w:p>
    <w:bookmarkEnd w:id="21"/>
    <w:bookmarkEnd w:id="22"/>
    <w:p>
      <w:pPr>
        <w:pStyle w:val="67"/>
      </w:pPr>
      <w:bookmarkStart w:id="23" w:name="_Toc399157312"/>
      <w:bookmarkStart w:id="24" w:name="_Toc406677045"/>
      <w:r>
        <w:rPr>
          <w:rFonts w:hint="eastAsia"/>
        </w:rPr>
        <w:t>（5）不同专业毕业生</w:t>
      </w:r>
      <w:bookmarkEnd w:id="23"/>
      <w:bookmarkEnd w:id="24"/>
      <w:r>
        <w:rPr>
          <w:rFonts w:hint="eastAsia"/>
        </w:rPr>
        <w:t>就业率</w:t>
      </w:r>
    </w:p>
    <w:p>
      <w:pPr>
        <w:pStyle w:val="37"/>
        <w:ind w:firstLine="480"/>
      </w:pPr>
      <w:r>
        <w:rPr>
          <w:rFonts w:hint="eastAsia"/>
        </w:rPr>
        <w:t>数据显示，本校18个专业的就业率均在84.0%以上。导演等10个专业的就业率最高，为100.0%，播音与主持专业的就业率最低，为84.0%。</w:t>
      </w:r>
    </w:p>
    <w:p>
      <w:pPr>
        <w:pStyle w:val="37"/>
        <w:ind w:firstLine="480"/>
      </w:pPr>
      <w:r>
        <w:rPr>
          <w:rFonts w:hint="eastAsia"/>
        </w:rPr>
        <w:t>艺术学理论专业的毕业生与用人单位签署三方协议的比例最高；戏剧创作专业的毕业生与用人单位签订劳动合同的比例最高；戏剧与影视学专业的毕业生由用人单位开具用人证明的比例最高；影视编导专业的毕业生从事自由职业的比例最高，艺术学理论专业的毕业生从事自由职业的比例最低；制片管理专业的毕业生自主创业的比例最高；舞台灯光专业的毕业生国内升学的比例最高；电视剧创作专业的毕业生出国（境）留学的比例最高。</w:t>
      </w:r>
    </w:p>
    <w:p>
      <w:pPr>
        <w:pStyle w:val="53"/>
        <w:spacing w:before="312" w:after="156"/>
      </w:pPr>
      <w:r>
        <w:rPr>
          <w:rFonts w:hint="eastAsia"/>
        </w:rPr>
        <w:t>不同专业毕业生毕业去向</w:t>
      </w:r>
    </w:p>
    <w:tbl>
      <w:tblPr>
        <w:tblStyle w:val="33"/>
        <w:tblW w:w="9854" w:type="dxa"/>
        <w:jc w:val="center"/>
        <w:tblInd w:w="0" w:type="dxa"/>
        <w:tblLayout w:type="fixed"/>
        <w:tblCellMar>
          <w:top w:w="0" w:type="dxa"/>
          <w:left w:w="108" w:type="dxa"/>
          <w:bottom w:w="0" w:type="dxa"/>
          <w:right w:w="108" w:type="dxa"/>
        </w:tblCellMar>
      </w:tblPr>
      <w:tblGrid>
        <w:gridCol w:w="1476"/>
        <w:gridCol w:w="636"/>
        <w:gridCol w:w="688"/>
        <w:gridCol w:w="689"/>
        <w:gridCol w:w="736"/>
        <w:gridCol w:w="735"/>
        <w:gridCol w:w="546"/>
        <w:gridCol w:w="641"/>
        <w:gridCol w:w="940"/>
        <w:gridCol w:w="523"/>
        <w:gridCol w:w="594"/>
        <w:gridCol w:w="594"/>
        <w:gridCol w:w="1056"/>
      </w:tblGrid>
      <w:tr>
        <w:tblPrEx>
          <w:tblLayout w:type="fixed"/>
          <w:tblCellMar>
            <w:top w:w="0" w:type="dxa"/>
            <w:left w:w="108" w:type="dxa"/>
            <w:bottom w:w="0" w:type="dxa"/>
            <w:right w:w="108" w:type="dxa"/>
          </w:tblCellMar>
        </w:tblPrEx>
        <w:trPr>
          <w:trHeight w:val="345" w:hRule="atLeast"/>
          <w:jc w:val="center"/>
        </w:trPr>
        <w:tc>
          <w:tcPr>
            <w:tcW w:w="1476" w:type="dxa"/>
            <w:vMerge w:val="restart"/>
            <w:tcBorders>
              <w:top w:val="single" w:color="00B050" w:sz="8" w:space="0"/>
              <w:left w:val="single" w:color="00B050" w:sz="8" w:space="0"/>
              <w:right w:val="dotted" w:color="00B050" w:sz="8" w:space="0"/>
            </w:tcBorders>
            <w:shd w:val="clear" w:color="auto" w:fill="auto"/>
            <w:vAlign w:val="center"/>
          </w:tcPr>
          <w:p>
            <w:pPr>
              <w:jc w:val="center"/>
              <w:rPr>
                <w:rFonts w:asciiTheme="minorEastAsia" w:hAnsiTheme="minorEastAsia"/>
                <w:color w:val="000000"/>
                <w:szCs w:val="18"/>
              </w:rPr>
            </w:pPr>
            <w:r>
              <w:rPr>
                <w:rFonts w:hint="eastAsia" w:asciiTheme="minorEastAsia" w:hAnsiTheme="minorEastAsia"/>
                <w:color w:val="000000"/>
                <w:szCs w:val="18"/>
              </w:rPr>
              <w:t>专业</w:t>
            </w:r>
          </w:p>
        </w:tc>
        <w:tc>
          <w:tcPr>
            <w:tcW w:w="636" w:type="dxa"/>
            <w:vMerge w:val="restart"/>
            <w:tcBorders>
              <w:top w:val="single" w:color="00B050" w:sz="8" w:space="0"/>
              <w:left w:val="dotted" w:color="00B050" w:sz="8" w:space="0"/>
              <w:right w:val="dotted" w:color="00B050" w:sz="8" w:space="0"/>
            </w:tcBorders>
            <w:shd w:val="clear" w:color="auto" w:fill="auto"/>
            <w:vAlign w:val="center"/>
          </w:tcPr>
          <w:p>
            <w:pPr>
              <w:tabs>
                <w:tab w:val="center" w:pos="210"/>
              </w:tabs>
              <w:jc w:val="center"/>
              <w:rPr>
                <w:color w:val="000000"/>
                <w:szCs w:val="21"/>
              </w:rPr>
            </w:pPr>
            <w:r>
              <w:rPr>
                <w:rFonts w:hint="eastAsia"/>
                <w:color w:val="000000"/>
                <w:szCs w:val="21"/>
              </w:rPr>
              <w:t>人数</w:t>
            </w:r>
          </w:p>
        </w:tc>
        <w:tc>
          <w:tcPr>
            <w:tcW w:w="4975" w:type="dxa"/>
            <w:gridSpan w:val="7"/>
            <w:tcBorders>
              <w:top w:val="single" w:color="00B050" w:sz="8" w:space="0"/>
              <w:left w:val="dotted" w:color="00B050" w:sz="8" w:space="0"/>
              <w:bottom w:val="single" w:color="00B050" w:sz="8" w:space="0"/>
              <w:right w:val="dotted" w:color="00B050" w:sz="8" w:space="0"/>
            </w:tcBorders>
          </w:tcPr>
          <w:p>
            <w:pPr>
              <w:jc w:val="center"/>
              <w:rPr>
                <w:color w:val="000000"/>
                <w:szCs w:val="21"/>
              </w:rPr>
            </w:pPr>
            <w:r>
              <w:rPr>
                <w:rFonts w:hint="eastAsia"/>
                <w:color w:val="000000"/>
                <w:szCs w:val="21"/>
              </w:rPr>
              <w:t>就业%</w:t>
            </w:r>
          </w:p>
        </w:tc>
        <w:tc>
          <w:tcPr>
            <w:tcW w:w="2767" w:type="dxa"/>
            <w:gridSpan w:val="4"/>
            <w:tcBorders>
              <w:top w:val="single" w:color="00B050" w:sz="8" w:space="0"/>
              <w:left w:val="dotted" w:color="00B050" w:sz="8" w:space="0"/>
              <w:bottom w:val="single" w:color="00B050" w:sz="8" w:space="0"/>
              <w:right w:val="single" w:color="00B050" w:sz="8" w:space="0"/>
            </w:tcBorders>
          </w:tcPr>
          <w:p>
            <w:pPr>
              <w:jc w:val="center"/>
              <w:rPr>
                <w:color w:val="000000"/>
                <w:szCs w:val="21"/>
              </w:rPr>
            </w:pPr>
            <w:r>
              <w:rPr>
                <w:rFonts w:hint="eastAsia"/>
                <w:color w:val="000000"/>
                <w:szCs w:val="21"/>
              </w:rPr>
              <w:t>未就业%</w:t>
            </w:r>
          </w:p>
        </w:tc>
      </w:tr>
      <w:tr>
        <w:tblPrEx>
          <w:tblLayout w:type="fixed"/>
          <w:tblCellMar>
            <w:top w:w="0" w:type="dxa"/>
            <w:left w:w="108" w:type="dxa"/>
            <w:bottom w:w="0" w:type="dxa"/>
            <w:right w:w="108" w:type="dxa"/>
          </w:tblCellMar>
        </w:tblPrEx>
        <w:trPr>
          <w:trHeight w:val="345" w:hRule="atLeast"/>
          <w:jc w:val="center"/>
        </w:trPr>
        <w:tc>
          <w:tcPr>
            <w:tcW w:w="1476" w:type="dxa"/>
            <w:vMerge w:val="continue"/>
            <w:tcBorders>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18"/>
              </w:rPr>
            </w:pPr>
          </w:p>
        </w:tc>
        <w:tc>
          <w:tcPr>
            <w:tcW w:w="636" w:type="dxa"/>
            <w:vMerge w:val="continue"/>
            <w:tcBorders>
              <w:left w:val="dotted" w:color="00B050" w:sz="8" w:space="0"/>
              <w:bottom w:val="single" w:color="00B050" w:sz="8" w:space="0"/>
              <w:right w:val="dotted" w:color="00B050" w:sz="8" w:space="0"/>
            </w:tcBorders>
            <w:shd w:val="clear" w:color="auto" w:fill="auto"/>
            <w:vAlign w:val="center"/>
          </w:tcPr>
          <w:p>
            <w:pPr>
              <w:tabs>
                <w:tab w:val="center" w:pos="210"/>
              </w:tabs>
              <w:jc w:val="center"/>
              <w:rPr>
                <w:color w:val="000000"/>
                <w:szCs w:val="21"/>
              </w:rPr>
            </w:pP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签署三方协议</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签订劳动合同</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单位开具用人证明</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自由职业</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自主创业</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国内升学</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出国（境）留学</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求职中</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拟升学不就业</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拟出国不就业</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rFonts w:hint="eastAsia"/>
                <w:color w:val="000000"/>
                <w:szCs w:val="21"/>
              </w:rPr>
              <w:t>暂不就业</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cs="宋体" w:asciiTheme="minorEastAsia" w:hAnsiTheme="minorEastAsia"/>
                <w:color w:val="000000"/>
                <w:szCs w:val="21"/>
              </w:rPr>
            </w:pPr>
            <w:r>
              <w:rPr>
                <w:rFonts w:hint="eastAsia" w:asciiTheme="minorEastAsia" w:hAnsiTheme="minorEastAsia"/>
                <w:color w:val="000000"/>
                <w:szCs w:val="21"/>
              </w:rPr>
              <w:t>表演</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147</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10.2</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4.8</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1.4</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72.8</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0.7</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0.7</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0.7</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7.5</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0.7</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0.7</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播音与主持</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25</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12.0</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12.0</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8.0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44.0</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4.0</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8.0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导演</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17</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11.8</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76.5</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5.9</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5.9</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电视剧创作</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7.1</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28.6</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35.7</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7.1</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21.4</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舞台灯光</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17</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5.9</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5.9</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70.6</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17.6</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舞台服装</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6.3</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6.3</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68.8</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12.5</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6.3</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舞台化装</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18</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11.1</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5.6</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72.2</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5.6</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5.6</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舞台绘景</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15.0</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75.0</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舞台设计</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r>
              <w:rPr>
                <w:rFonts w:hint="eastAsia"/>
                <w:color w:val="000000"/>
                <w:szCs w:val="21"/>
              </w:rPr>
              <w:t>7</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5.9</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5.9</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eastAsia="MingLiU"/>
                <w:color w:val="000000"/>
                <w:szCs w:val="21"/>
              </w:rPr>
              <w:t>6</w:t>
            </w:r>
            <w:r>
              <w:rPr>
                <w:rFonts w:hint="eastAsia"/>
                <w:color w:val="000000"/>
                <w:szCs w:val="21"/>
              </w:rPr>
              <w:t>4.7</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5.9</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11.7</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color w:val="000000"/>
                <w:szCs w:val="21"/>
              </w:rPr>
            </w:pPr>
            <w:r>
              <w:rPr>
                <w:rFonts w:hint="eastAsia"/>
                <w:color w:val="000000"/>
                <w:szCs w:val="21"/>
              </w:rPr>
              <w:t>5.9</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戏剧</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46</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28.3</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17.4</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8.7</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34.8</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4.3</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6.5</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戏剧创作</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18</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11.1</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38.9</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44.4</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5.6</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戏剧学</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37</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21.6</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51.4</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16.2</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10.8</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戏剧与影视学</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65</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38.5</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23.1</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23.1</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3.1</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4.6</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演出制作</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39</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23.1</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48.7</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10.3</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2.6</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艺术学理论</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15</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40.0</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6.7</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20.0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13.3</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6.7</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13.3</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PrEx>
        <w:trPr>
          <w:trHeight w:val="345"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影视编导</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w:t>
            </w:r>
          </w:p>
        </w:tc>
        <w:tc>
          <w:tcPr>
            <w:tcW w:w="688"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89"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73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735"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80.0</w:t>
            </w:r>
          </w:p>
        </w:tc>
        <w:tc>
          <w:tcPr>
            <w:tcW w:w="546"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41"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940"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523"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5.0</w:t>
            </w:r>
          </w:p>
        </w:tc>
        <w:tc>
          <w:tcPr>
            <w:tcW w:w="594" w:type="dxa"/>
            <w:tcBorders>
              <w:top w:val="single" w:color="00B050" w:sz="8" w:space="0"/>
              <w:left w:val="dotted" w:color="00B050" w:sz="8" w:space="0"/>
              <w:bottom w:val="single" w:color="00B050" w:sz="8"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105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r>
        <w:tblPrEx>
          <w:tblLayout w:type="fixed"/>
          <w:tblCellMar>
            <w:top w:w="0" w:type="dxa"/>
            <w:left w:w="108" w:type="dxa"/>
            <w:bottom w:w="0" w:type="dxa"/>
            <w:right w:w="108" w:type="dxa"/>
          </w:tblCellMar>
        </w:tblPrEx>
        <w:trPr>
          <w:trHeight w:val="345" w:hRule="atLeast"/>
          <w:jc w:val="center"/>
        </w:trPr>
        <w:tc>
          <w:tcPr>
            <w:tcW w:w="1476" w:type="dxa"/>
            <w:tcBorders>
              <w:top w:val="single" w:color="00B050" w:sz="8" w:space="0"/>
              <w:left w:val="single" w:color="00B050" w:sz="8" w:space="0"/>
              <w:bottom w:val="single" w:color="00B050" w:sz="4" w:space="0"/>
              <w:right w:val="dotted" w:color="00B050" w:sz="8" w:space="0"/>
            </w:tcBorders>
            <w:shd w:val="clear" w:color="auto" w:fill="auto"/>
            <w:vAlign w:val="center"/>
          </w:tcPr>
          <w:p>
            <w:pPr>
              <w:rPr>
                <w:rFonts w:asciiTheme="minorEastAsia" w:hAnsiTheme="minorEastAsia"/>
                <w:color w:val="000000"/>
                <w:szCs w:val="21"/>
              </w:rPr>
            </w:pPr>
            <w:r>
              <w:rPr>
                <w:rFonts w:hint="eastAsia" w:asciiTheme="minorEastAsia" w:hAnsiTheme="minorEastAsia"/>
                <w:color w:val="000000"/>
                <w:szCs w:val="21"/>
              </w:rPr>
              <w:t>制片管理</w:t>
            </w:r>
          </w:p>
        </w:tc>
        <w:tc>
          <w:tcPr>
            <w:tcW w:w="636" w:type="dxa"/>
            <w:tcBorders>
              <w:top w:val="single" w:color="00B050" w:sz="8" w:space="0"/>
              <w:left w:val="dotted" w:color="00B050" w:sz="8" w:space="0"/>
              <w:bottom w:val="single" w:color="00B050" w:sz="4" w:space="0"/>
              <w:right w:val="dotted" w:color="00B050" w:sz="8" w:space="0"/>
            </w:tcBorders>
            <w:shd w:val="clear" w:color="auto" w:fill="auto"/>
            <w:vAlign w:val="center"/>
          </w:tcPr>
          <w:p>
            <w:pPr>
              <w:jc w:val="center"/>
              <w:rPr>
                <w:color w:val="000000"/>
                <w:szCs w:val="21"/>
              </w:rPr>
            </w:pPr>
            <w:r>
              <w:rPr>
                <w:color w:val="000000"/>
                <w:szCs w:val="21"/>
              </w:rPr>
              <w:t>39</w:t>
            </w:r>
          </w:p>
        </w:tc>
        <w:tc>
          <w:tcPr>
            <w:tcW w:w="688"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0.0</w:t>
            </w:r>
          </w:p>
        </w:tc>
        <w:tc>
          <w:tcPr>
            <w:tcW w:w="689"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736"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735"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59.0</w:t>
            </w:r>
          </w:p>
        </w:tc>
        <w:tc>
          <w:tcPr>
            <w:tcW w:w="546"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641"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940"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523"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594"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2.6</w:t>
            </w:r>
          </w:p>
        </w:tc>
        <w:tc>
          <w:tcPr>
            <w:tcW w:w="594" w:type="dxa"/>
            <w:tcBorders>
              <w:top w:val="single" w:color="00B050" w:sz="8" w:space="0"/>
              <w:left w:val="dotted" w:color="00B050" w:sz="8" w:space="0"/>
              <w:bottom w:val="single" w:color="00B050" w:sz="4" w:space="0"/>
              <w:right w:val="dotted" w:color="00B050" w:sz="8" w:space="0"/>
            </w:tcBorders>
            <w:vAlign w:val="center"/>
          </w:tcPr>
          <w:p>
            <w:pPr>
              <w:jc w:val="center"/>
              <w:rPr>
                <w:rFonts w:eastAsia="MingLiU"/>
                <w:color w:val="000000"/>
                <w:szCs w:val="21"/>
              </w:rPr>
            </w:pPr>
            <w:r>
              <w:rPr>
                <w:rFonts w:eastAsia="MingLiU"/>
                <w:color w:val="000000"/>
                <w:szCs w:val="21"/>
              </w:rPr>
              <w:t>7.7</w:t>
            </w:r>
          </w:p>
        </w:tc>
        <w:tc>
          <w:tcPr>
            <w:tcW w:w="1056" w:type="dxa"/>
            <w:tcBorders>
              <w:top w:val="single" w:color="00B050" w:sz="8" w:space="0"/>
              <w:left w:val="dotted" w:color="00B050" w:sz="8" w:space="0"/>
              <w:bottom w:val="single" w:color="00B050" w:sz="4" w:space="0"/>
              <w:right w:val="single" w:color="00B050" w:sz="8" w:space="0"/>
            </w:tcBorders>
            <w:shd w:val="clear" w:color="auto" w:fill="auto"/>
            <w:vAlign w:val="center"/>
          </w:tcPr>
          <w:p>
            <w:pPr>
              <w:jc w:val="center"/>
              <w:rPr>
                <w:rFonts w:eastAsia="MingLiU"/>
                <w:color w:val="000000"/>
                <w:szCs w:val="21"/>
              </w:rPr>
            </w:pPr>
            <w:r>
              <w:rPr>
                <w:rFonts w:eastAsia="MingLiU"/>
                <w:color w:val="000000"/>
                <w:szCs w:val="21"/>
              </w:rPr>
              <w:t>0.0</w:t>
            </w:r>
          </w:p>
        </w:tc>
      </w:tr>
    </w:tbl>
    <w:p>
      <w:pPr>
        <w:pStyle w:val="52"/>
      </w:pPr>
    </w:p>
    <w:p>
      <w:pPr>
        <w:pStyle w:val="44"/>
        <w:spacing w:before="156"/>
      </w:pPr>
      <w:r>
        <w:rPr>
          <w:rFonts w:hint="eastAsia"/>
        </w:rPr>
        <w:t>2、落实就业地区分布</w:t>
      </w:r>
    </w:p>
    <w:p>
      <w:pPr>
        <w:pStyle w:val="37"/>
        <w:ind w:firstLine="480"/>
      </w:pPr>
      <w:bookmarkStart w:id="25" w:name="PO_2221"/>
      <w:bookmarkEnd w:id="25"/>
      <w:r>
        <w:rPr>
          <w:rFonts w:hint="eastAsia"/>
        </w:rPr>
        <w:t>数据显示，从就业地区来看，22.0%的毕业生选择落实在北京就业，78.0%的毕业生选择在京外就业。其中，京外就业的毕业生最主要选择在东部地区（40.1%），其次是中部地区（27.5%），再次为西部地区（10.4%）。</w:t>
      </w:r>
    </w:p>
    <w:p>
      <w:pPr>
        <w:pStyle w:val="37"/>
        <w:ind w:firstLine="480"/>
      </w:pPr>
      <w:r>
        <w:rPr>
          <w:rFonts w:hint="eastAsia"/>
        </w:rPr>
        <w:t>同时，根据全国经济区的划分，除北京外，本校毕业生落实就业比例较高的三个经济区依次为：北部沿海经济区（20.0%）、长江中游经济区（11.6%）、黄河中游经济区（11.2%）；落实就业比例最低的经济区为西北经济区（3.5%）。</w:t>
      </w:r>
    </w:p>
    <w:p>
      <w:pPr>
        <w:pStyle w:val="53"/>
        <w:spacing w:before="312" w:after="156"/>
      </w:pPr>
      <w:r>
        <w:rPr>
          <w:rFonts w:hint="eastAsia"/>
        </w:rPr>
        <w:t>落实就业地区分布（1）</w:t>
      </w:r>
    </w:p>
    <w:tbl>
      <w:tblPr>
        <w:tblStyle w:val="33"/>
        <w:tblW w:w="227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63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636" w:type="dxa"/>
            <w:shd w:val="clear" w:color="auto" w:fill="auto"/>
            <w:vAlign w:val="center"/>
          </w:tcPr>
          <w:p>
            <w:pPr>
              <w:pStyle w:val="52"/>
              <w:jc w:val="center"/>
              <w:rPr>
                <w:kern w:val="0"/>
              </w:rPr>
            </w:pPr>
            <w:r>
              <w:rPr>
                <w:rFonts w:hint="eastAsia"/>
                <w:kern w:val="0"/>
              </w:rPr>
              <w:t>人数</w:t>
            </w:r>
          </w:p>
        </w:tc>
        <w:tc>
          <w:tcPr>
            <w:tcW w:w="584" w:type="dxa"/>
            <w:shd w:val="clear" w:color="auto" w:fill="auto"/>
            <w:vAlign w:val="center"/>
          </w:tcPr>
          <w:p>
            <w:pPr>
              <w:pStyle w:val="52"/>
              <w:jc w:val="center"/>
              <w:rPr>
                <w:kern w:val="0"/>
              </w:rPr>
            </w:pPr>
            <w:r>
              <w:rPr>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北京地区</w:t>
            </w:r>
          </w:p>
        </w:tc>
        <w:tc>
          <w:tcPr>
            <w:tcW w:w="636" w:type="dxa"/>
            <w:shd w:val="clear" w:color="auto" w:fill="auto"/>
            <w:vAlign w:val="center"/>
          </w:tcPr>
          <w:p>
            <w:pPr>
              <w:pStyle w:val="52"/>
              <w:jc w:val="center"/>
              <w:rPr>
                <w:kern w:val="0"/>
              </w:rPr>
            </w:pPr>
            <w:r>
              <w:rPr>
                <w:kern w:val="0"/>
              </w:rPr>
              <w:t>108</w:t>
            </w:r>
          </w:p>
        </w:tc>
        <w:tc>
          <w:tcPr>
            <w:tcW w:w="584" w:type="dxa"/>
            <w:shd w:val="clear" w:color="auto" w:fill="auto"/>
            <w:vAlign w:val="center"/>
          </w:tcPr>
          <w:p>
            <w:pPr>
              <w:pStyle w:val="52"/>
              <w:jc w:val="center"/>
              <w:rPr>
                <w:kern w:val="0"/>
              </w:rPr>
            </w:pPr>
            <w:r>
              <w:rPr>
                <w:kern w:val="0"/>
              </w:rPr>
              <w:t>22.0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东部地区</w:t>
            </w:r>
          </w:p>
        </w:tc>
        <w:tc>
          <w:tcPr>
            <w:tcW w:w="636" w:type="dxa"/>
            <w:shd w:val="clear" w:color="auto" w:fill="auto"/>
            <w:vAlign w:val="center"/>
          </w:tcPr>
          <w:p>
            <w:pPr>
              <w:pStyle w:val="52"/>
              <w:jc w:val="center"/>
              <w:rPr>
                <w:kern w:val="0"/>
              </w:rPr>
            </w:pPr>
            <w:r>
              <w:rPr>
                <w:kern w:val="0"/>
              </w:rPr>
              <w:t>197</w:t>
            </w:r>
          </w:p>
        </w:tc>
        <w:tc>
          <w:tcPr>
            <w:tcW w:w="584" w:type="dxa"/>
            <w:shd w:val="clear" w:color="auto" w:fill="auto"/>
            <w:vAlign w:val="center"/>
          </w:tcPr>
          <w:p>
            <w:pPr>
              <w:pStyle w:val="52"/>
              <w:jc w:val="center"/>
              <w:rPr>
                <w:kern w:val="0"/>
              </w:rPr>
            </w:pPr>
            <w:r>
              <w:rPr>
                <w:kern w:val="0"/>
              </w:rPr>
              <w:t>40.1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中部地区</w:t>
            </w:r>
          </w:p>
        </w:tc>
        <w:tc>
          <w:tcPr>
            <w:tcW w:w="636" w:type="dxa"/>
            <w:shd w:val="clear" w:color="auto" w:fill="auto"/>
            <w:vAlign w:val="center"/>
          </w:tcPr>
          <w:p>
            <w:pPr>
              <w:pStyle w:val="52"/>
              <w:jc w:val="center"/>
              <w:rPr>
                <w:kern w:val="0"/>
              </w:rPr>
            </w:pPr>
            <w:r>
              <w:rPr>
                <w:kern w:val="0"/>
              </w:rPr>
              <w:t>135</w:t>
            </w:r>
          </w:p>
        </w:tc>
        <w:tc>
          <w:tcPr>
            <w:tcW w:w="584" w:type="dxa"/>
            <w:shd w:val="clear" w:color="auto" w:fill="auto"/>
            <w:vAlign w:val="center"/>
          </w:tcPr>
          <w:p>
            <w:pPr>
              <w:pStyle w:val="52"/>
              <w:jc w:val="center"/>
              <w:rPr>
                <w:kern w:val="0"/>
              </w:rPr>
            </w:pPr>
            <w:r>
              <w:rPr>
                <w:kern w:val="0"/>
              </w:rPr>
              <w:t>27.5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西部地区</w:t>
            </w:r>
          </w:p>
        </w:tc>
        <w:tc>
          <w:tcPr>
            <w:tcW w:w="636" w:type="dxa"/>
            <w:shd w:val="clear" w:color="auto" w:fill="auto"/>
            <w:vAlign w:val="center"/>
          </w:tcPr>
          <w:p>
            <w:pPr>
              <w:pStyle w:val="52"/>
              <w:jc w:val="center"/>
              <w:rPr>
                <w:kern w:val="0"/>
              </w:rPr>
            </w:pPr>
            <w:r>
              <w:rPr>
                <w:kern w:val="0"/>
              </w:rPr>
              <w:t>51</w:t>
            </w:r>
          </w:p>
        </w:tc>
        <w:tc>
          <w:tcPr>
            <w:tcW w:w="584" w:type="dxa"/>
            <w:shd w:val="clear" w:color="auto" w:fill="auto"/>
            <w:vAlign w:val="center"/>
          </w:tcPr>
          <w:p>
            <w:pPr>
              <w:pStyle w:val="52"/>
              <w:jc w:val="center"/>
              <w:rPr>
                <w:kern w:val="0"/>
              </w:rPr>
            </w:pPr>
            <w:r>
              <w:rPr>
                <w:kern w:val="0"/>
              </w:rPr>
              <w:t>10.4</w:t>
            </w:r>
          </w:p>
        </w:tc>
      </w:tr>
    </w:tbl>
    <w:p>
      <w:pPr>
        <w:pStyle w:val="37"/>
        <w:ind w:firstLine="0" w:firstLineChars="0"/>
      </w:pPr>
    </w:p>
    <w:p>
      <w:pPr>
        <w:pStyle w:val="37"/>
        <w:ind w:firstLine="0" w:firstLineChars="0"/>
        <w:rPr>
          <w:sz w:val="20"/>
        </w:rPr>
      </w:pPr>
      <w:r>
        <w:rPr>
          <w:rFonts w:hint="eastAsia"/>
          <w:sz w:val="20"/>
        </w:rPr>
        <w:t>注：东部地区：天津、上海、辽宁、河北、山东、浙江、江苏、广东、福建和海南10省市以及港澳台地区；</w:t>
      </w:r>
    </w:p>
    <w:p>
      <w:pPr>
        <w:pStyle w:val="37"/>
        <w:ind w:firstLine="420" w:firstLineChars="0"/>
        <w:rPr>
          <w:sz w:val="20"/>
        </w:rPr>
      </w:pPr>
      <w:r>
        <w:rPr>
          <w:rFonts w:hint="eastAsia"/>
          <w:sz w:val="20"/>
        </w:rPr>
        <w:t>中部地区：吉林、黑龙江、山西、湖南、湖北、河南、江西和安徽8省；</w:t>
      </w:r>
    </w:p>
    <w:p>
      <w:pPr>
        <w:pStyle w:val="37"/>
        <w:ind w:firstLine="400"/>
        <w:rPr>
          <w:sz w:val="20"/>
        </w:rPr>
      </w:pPr>
      <w:r>
        <w:rPr>
          <w:rFonts w:hint="eastAsia"/>
          <w:sz w:val="20"/>
        </w:rPr>
        <w:t>西部地区：重庆、四川、陕西、宁夏、甘肃、内蒙、青海、新疆、西藏、贵州、云南和广西12省市。</w:t>
      </w:r>
    </w:p>
    <w:p>
      <w:pPr>
        <w:pStyle w:val="53"/>
        <w:spacing w:before="312" w:after="156"/>
      </w:pPr>
      <w:bookmarkStart w:id="26" w:name="PO_2222"/>
      <w:bookmarkEnd w:id="26"/>
      <w:r>
        <w:rPr>
          <w:rFonts w:hint="eastAsia"/>
        </w:rPr>
        <w:t>落实就业地区分布（2）</w:t>
      </w:r>
    </w:p>
    <w:tbl>
      <w:tblPr>
        <w:tblStyle w:val="33"/>
        <w:tblW w:w="290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686"/>
        <w:gridCol w:w="63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686" w:type="dxa"/>
            <w:shd w:val="clear" w:color="auto" w:fill="auto"/>
            <w:vAlign w:val="center"/>
          </w:tcPr>
          <w:p>
            <w:pPr>
              <w:pStyle w:val="52"/>
              <w:ind w:firstLine="480"/>
              <w:jc w:val="center"/>
              <w:rPr>
                <w:kern w:val="0"/>
              </w:rPr>
            </w:pPr>
          </w:p>
        </w:tc>
        <w:tc>
          <w:tcPr>
            <w:tcW w:w="636" w:type="dxa"/>
            <w:shd w:val="clear" w:color="auto" w:fill="auto"/>
            <w:vAlign w:val="center"/>
          </w:tcPr>
          <w:p>
            <w:pPr>
              <w:pStyle w:val="52"/>
              <w:jc w:val="center"/>
              <w:rPr>
                <w:kern w:val="0"/>
              </w:rPr>
            </w:pPr>
            <w:r>
              <w:rPr>
                <w:rFonts w:hint="eastAsia"/>
                <w:kern w:val="0"/>
              </w:rPr>
              <w:t>人数</w:t>
            </w:r>
          </w:p>
        </w:tc>
        <w:tc>
          <w:tcPr>
            <w:tcW w:w="584" w:type="dxa"/>
            <w:shd w:val="clear" w:color="auto" w:fill="auto"/>
            <w:vAlign w:val="center"/>
          </w:tcPr>
          <w:p>
            <w:pPr>
              <w:pStyle w:val="52"/>
              <w:jc w:val="center"/>
              <w:rPr>
                <w:kern w:val="0"/>
              </w:rPr>
            </w:pPr>
            <w:r>
              <w:rPr>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北京地区</w:t>
            </w:r>
          </w:p>
        </w:tc>
        <w:tc>
          <w:tcPr>
            <w:tcW w:w="636" w:type="dxa"/>
            <w:shd w:val="clear" w:color="auto" w:fill="auto"/>
            <w:vAlign w:val="center"/>
          </w:tcPr>
          <w:p>
            <w:pPr>
              <w:pStyle w:val="52"/>
              <w:jc w:val="center"/>
              <w:rPr>
                <w:kern w:val="0"/>
              </w:rPr>
            </w:pPr>
            <w:r>
              <w:rPr>
                <w:kern w:val="0"/>
              </w:rPr>
              <w:t>108</w:t>
            </w:r>
          </w:p>
        </w:tc>
        <w:tc>
          <w:tcPr>
            <w:tcW w:w="584" w:type="dxa"/>
            <w:shd w:val="clear" w:color="auto" w:fill="auto"/>
            <w:vAlign w:val="center"/>
          </w:tcPr>
          <w:p>
            <w:pPr>
              <w:pStyle w:val="52"/>
              <w:jc w:val="center"/>
              <w:rPr>
                <w:kern w:val="0"/>
              </w:rPr>
            </w:pPr>
            <w:r>
              <w:rPr>
                <w:kern w:val="0"/>
              </w:rPr>
              <w:t>22.0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东北经济区</w:t>
            </w:r>
          </w:p>
        </w:tc>
        <w:tc>
          <w:tcPr>
            <w:tcW w:w="636" w:type="dxa"/>
            <w:shd w:val="clear" w:color="auto" w:fill="auto"/>
            <w:vAlign w:val="center"/>
          </w:tcPr>
          <w:p>
            <w:pPr>
              <w:pStyle w:val="52"/>
              <w:jc w:val="center"/>
              <w:rPr>
                <w:kern w:val="0"/>
              </w:rPr>
            </w:pPr>
            <w:r>
              <w:rPr>
                <w:kern w:val="0"/>
              </w:rPr>
              <w:t>53</w:t>
            </w:r>
          </w:p>
        </w:tc>
        <w:tc>
          <w:tcPr>
            <w:tcW w:w="584" w:type="dxa"/>
            <w:shd w:val="clear" w:color="auto" w:fill="auto"/>
            <w:vAlign w:val="center"/>
          </w:tcPr>
          <w:p>
            <w:pPr>
              <w:pStyle w:val="52"/>
              <w:jc w:val="center"/>
              <w:rPr>
                <w:kern w:val="0"/>
              </w:rPr>
            </w:pPr>
            <w:r>
              <w:rPr>
                <w:kern w:val="0"/>
              </w:rPr>
              <w:t>10.8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北部沿海经济区</w:t>
            </w:r>
          </w:p>
        </w:tc>
        <w:tc>
          <w:tcPr>
            <w:tcW w:w="636" w:type="dxa"/>
            <w:shd w:val="clear" w:color="auto" w:fill="auto"/>
            <w:vAlign w:val="center"/>
          </w:tcPr>
          <w:p>
            <w:pPr>
              <w:pStyle w:val="52"/>
              <w:jc w:val="center"/>
              <w:rPr>
                <w:kern w:val="0"/>
              </w:rPr>
            </w:pPr>
            <w:r>
              <w:rPr>
                <w:kern w:val="0"/>
              </w:rPr>
              <w:t>98</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东部沿海经济区</w:t>
            </w:r>
          </w:p>
        </w:tc>
        <w:tc>
          <w:tcPr>
            <w:tcW w:w="636" w:type="dxa"/>
            <w:shd w:val="clear" w:color="auto" w:fill="auto"/>
            <w:vAlign w:val="center"/>
          </w:tcPr>
          <w:p>
            <w:pPr>
              <w:pStyle w:val="52"/>
              <w:jc w:val="center"/>
              <w:rPr>
                <w:kern w:val="0"/>
              </w:rPr>
            </w:pPr>
            <w:r>
              <w:rPr>
                <w:kern w:val="0"/>
              </w:rPr>
              <w:t>37</w:t>
            </w:r>
          </w:p>
        </w:tc>
        <w:tc>
          <w:tcPr>
            <w:tcW w:w="584" w:type="dxa"/>
            <w:shd w:val="clear" w:color="auto" w:fill="auto"/>
            <w:vAlign w:val="center"/>
          </w:tcPr>
          <w:p>
            <w:pPr>
              <w:pStyle w:val="52"/>
              <w:jc w:val="center"/>
              <w:rPr>
                <w:kern w:val="0"/>
              </w:rPr>
            </w:pPr>
            <w:r>
              <w:rPr>
                <w:kern w:val="0"/>
              </w:rPr>
              <w:t>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686" w:type="dxa"/>
            <w:shd w:val="clear" w:color="auto" w:fill="auto"/>
            <w:vAlign w:val="center"/>
          </w:tcPr>
          <w:p>
            <w:pPr>
              <w:pStyle w:val="52"/>
              <w:rPr>
                <w:kern w:val="0"/>
              </w:rPr>
            </w:pPr>
            <w:r>
              <w:rPr>
                <w:rFonts w:hint="eastAsia"/>
                <w:kern w:val="0"/>
              </w:rPr>
              <w:t>南部沿海经济区</w:t>
            </w:r>
          </w:p>
        </w:tc>
        <w:tc>
          <w:tcPr>
            <w:tcW w:w="636" w:type="dxa"/>
            <w:shd w:val="clear" w:color="auto" w:fill="auto"/>
            <w:vAlign w:val="center"/>
          </w:tcPr>
          <w:p>
            <w:pPr>
              <w:pStyle w:val="52"/>
              <w:jc w:val="center"/>
              <w:rPr>
                <w:kern w:val="0"/>
              </w:rPr>
            </w:pPr>
            <w:r>
              <w:rPr>
                <w:kern w:val="0"/>
              </w:rPr>
              <w:t>33</w:t>
            </w:r>
          </w:p>
        </w:tc>
        <w:tc>
          <w:tcPr>
            <w:tcW w:w="584" w:type="dxa"/>
            <w:shd w:val="clear" w:color="auto" w:fill="auto"/>
            <w:vAlign w:val="center"/>
          </w:tcPr>
          <w:p>
            <w:pPr>
              <w:pStyle w:val="52"/>
              <w:jc w:val="center"/>
              <w:rPr>
                <w:kern w:val="0"/>
              </w:rPr>
            </w:pPr>
            <w:r>
              <w:rPr>
                <w:kern w:val="0"/>
              </w:rPr>
              <w:t>6.7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黄河中游经济区</w:t>
            </w:r>
          </w:p>
        </w:tc>
        <w:tc>
          <w:tcPr>
            <w:tcW w:w="636" w:type="dxa"/>
            <w:shd w:val="clear" w:color="auto" w:fill="auto"/>
            <w:vAlign w:val="center"/>
          </w:tcPr>
          <w:p>
            <w:pPr>
              <w:pStyle w:val="52"/>
              <w:jc w:val="center"/>
              <w:rPr>
                <w:kern w:val="0"/>
              </w:rPr>
            </w:pPr>
            <w:r>
              <w:rPr>
                <w:kern w:val="0"/>
              </w:rPr>
              <w:t>55</w:t>
            </w:r>
          </w:p>
        </w:tc>
        <w:tc>
          <w:tcPr>
            <w:tcW w:w="584" w:type="dxa"/>
            <w:shd w:val="clear" w:color="auto" w:fill="auto"/>
            <w:vAlign w:val="center"/>
          </w:tcPr>
          <w:p>
            <w:pPr>
              <w:pStyle w:val="52"/>
              <w:jc w:val="center"/>
              <w:rPr>
                <w:kern w:val="0"/>
              </w:rPr>
            </w:pPr>
            <w:r>
              <w:rPr>
                <w:kern w:val="0"/>
              </w:rPr>
              <w:t>11.2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长江中游经济区</w:t>
            </w:r>
          </w:p>
        </w:tc>
        <w:tc>
          <w:tcPr>
            <w:tcW w:w="636" w:type="dxa"/>
            <w:shd w:val="clear" w:color="auto" w:fill="auto"/>
            <w:vAlign w:val="center"/>
          </w:tcPr>
          <w:p>
            <w:pPr>
              <w:pStyle w:val="52"/>
              <w:jc w:val="center"/>
              <w:rPr>
                <w:kern w:val="0"/>
              </w:rPr>
            </w:pPr>
            <w:r>
              <w:rPr>
                <w:kern w:val="0"/>
              </w:rPr>
              <w:t>57</w:t>
            </w:r>
          </w:p>
        </w:tc>
        <w:tc>
          <w:tcPr>
            <w:tcW w:w="584" w:type="dxa"/>
            <w:shd w:val="clear" w:color="auto" w:fill="auto"/>
            <w:vAlign w:val="center"/>
          </w:tcPr>
          <w:p>
            <w:pPr>
              <w:pStyle w:val="52"/>
              <w:jc w:val="center"/>
              <w:rPr>
                <w:kern w:val="0"/>
              </w:rPr>
            </w:pPr>
            <w:r>
              <w:rPr>
                <w:kern w:val="0"/>
              </w:rPr>
              <w:t>11.6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西南经济区</w:t>
            </w:r>
          </w:p>
        </w:tc>
        <w:tc>
          <w:tcPr>
            <w:tcW w:w="636" w:type="dxa"/>
            <w:shd w:val="clear" w:color="auto" w:fill="auto"/>
            <w:vAlign w:val="center"/>
          </w:tcPr>
          <w:p>
            <w:pPr>
              <w:pStyle w:val="52"/>
              <w:jc w:val="center"/>
              <w:rPr>
                <w:kern w:val="0"/>
              </w:rPr>
            </w:pPr>
            <w:r>
              <w:rPr>
                <w:kern w:val="0"/>
              </w:rPr>
              <w:t>33</w:t>
            </w:r>
          </w:p>
        </w:tc>
        <w:tc>
          <w:tcPr>
            <w:tcW w:w="584" w:type="dxa"/>
            <w:shd w:val="clear" w:color="auto" w:fill="auto"/>
            <w:vAlign w:val="center"/>
          </w:tcPr>
          <w:p>
            <w:pPr>
              <w:pStyle w:val="52"/>
              <w:jc w:val="center"/>
              <w:rPr>
                <w:kern w:val="0"/>
              </w:rPr>
            </w:pPr>
            <w:r>
              <w:rPr>
                <w:kern w:val="0"/>
              </w:rPr>
              <w:t>6.7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686" w:type="dxa"/>
            <w:shd w:val="clear" w:color="auto" w:fill="auto"/>
            <w:vAlign w:val="center"/>
          </w:tcPr>
          <w:p>
            <w:pPr>
              <w:pStyle w:val="52"/>
              <w:rPr>
                <w:kern w:val="0"/>
              </w:rPr>
            </w:pPr>
            <w:r>
              <w:rPr>
                <w:rFonts w:hint="eastAsia"/>
                <w:kern w:val="0"/>
              </w:rPr>
              <w:t>西北经济区</w:t>
            </w:r>
          </w:p>
        </w:tc>
        <w:tc>
          <w:tcPr>
            <w:tcW w:w="636" w:type="dxa"/>
            <w:shd w:val="clear" w:color="auto" w:fill="auto"/>
            <w:vAlign w:val="center"/>
          </w:tcPr>
          <w:p>
            <w:pPr>
              <w:pStyle w:val="52"/>
              <w:jc w:val="center"/>
              <w:rPr>
                <w:kern w:val="0"/>
              </w:rPr>
            </w:pPr>
            <w:r>
              <w:rPr>
                <w:kern w:val="0"/>
              </w:rPr>
              <w:t>17</w:t>
            </w:r>
          </w:p>
        </w:tc>
        <w:tc>
          <w:tcPr>
            <w:tcW w:w="584" w:type="dxa"/>
            <w:shd w:val="clear" w:color="auto" w:fill="auto"/>
            <w:vAlign w:val="center"/>
          </w:tcPr>
          <w:p>
            <w:pPr>
              <w:pStyle w:val="52"/>
              <w:jc w:val="center"/>
              <w:rPr>
                <w:kern w:val="0"/>
              </w:rPr>
            </w:pPr>
            <w:r>
              <w:rPr>
                <w:kern w:val="0"/>
              </w:rPr>
              <w:t>3.5</w:t>
            </w:r>
          </w:p>
        </w:tc>
      </w:tr>
    </w:tbl>
    <w:p>
      <w:pPr>
        <w:pStyle w:val="37"/>
        <w:ind w:firstLine="480"/>
      </w:pPr>
    </w:p>
    <w:p>
      <w:pPr>
        <w:pStyle w:val="37"/>
        <w:ind w:firstLine="0" w:firstLineChars="0"/>
        <w:rPr>
          <w:rFonts w:cs="Times New Roman" w:asciiTheme="minorEastAsia" w:hAnsiTheme="minorEastAsia" w:eastAsiaTheme="minorEastAsia"/>
          <w:color w:val="000000" w:themeColor="text1"/>
          <w:sz w:val="20"/>
          <w:szCs w:val="20"/>
        </w:rPr>
      </w:pPr>
      <w:r>
        <w:rPr>
          <w:rFonts w:hint="eastAsia"/>
          <w:sz w:val="20"/>
          <w:szCs w:val="20"/>
        </w:rPr>
        <w:t>注：</w:t>
      </w:r>
      <w:r>
        <w:rPr>
          <w:rFonts w:hint="eastAsia" w:cs="Times New Roman" w:asciiTheme="minorEastAsia" w:hAnsiTheme="minorEastAsia" w:eastAsiaTheme="minorEastAsia"/>
          <w:color w:val="000000" w:themeColor="text1"/>
          <w:sz w:val="20"/>
          <w:szCs w:val="20"/>
        </w:rPr>
        <w:t>根据</w:t>
      </w:r>
      <w:r>
        <w:rPr>
          <w:rFonts w:cs="Times New Roman" w:asciiTheme="minorEastAsia" w:hAnsiTheme="minorEastAsia" w:eastAsiaTheme="minorEastAsia"/>
          <w:color w:val="000000" w:themeColor="text1"/>
          <w:sz w:val="20"/>
          <w:szCs w:val="20"/>
        </w:rPr>
        <w:t>国务院发展研究中心</w:t>
      </w:r>
      <w:r>
        <w:rPr>
          <w:rFonts w:hint="eastAsia" w:cs="Times New Roman" w:asciiTheme="minorEastAsia" w:hAnsiTheme="minorEastAsia" w:eastAsiaTheme="minorEastAsia"/>
          <w:color w:val="000000" w:themeColor="text1"/>
          <w:sz w:val="20"/>
          <w:szCs w:val="20"/>
        </w:rPr>
        <w:t>在“十一五”期间</w:t>
      </w:r>
      <w:r>
        <w:rPr>
          <w:rFonts w:cs="Times New Roman" w:asciiTheme="minorEastAsia" w:hAnsiTheme="minorEastAsia" w:eastAsiaTheme="minorEastAsia"/>
          <w:color w:val="000000" w:themeColor="text1"/>
          <w:sz w:val="20"/>
          <w:szCs w:val="20"/>
        </w:rPr>
        <w:t>对全国经济区</w:t>
      </w:r>
      <w:r>
        <w:rPr>
          <w:rFonts w:hint="eastAsia" w:cs="Times New Roman" w:asciiTheme="minorEastAsia" w:hAnsiTheme="minorEastAsia" w:eastAsiaTheme="minorEastAsia"/>
          <w:color w:val="000000" w:themeColor="text1"/>
          <w:sz w:val="20"/>
          <w:szCs w:val="20"/>
        </w:rPr>
        <w:t>的</w:t>
      </w:r>
      <w:r>
        <w:rPr>
          <w:rFonts w:cs="Times New Roman" w:asciiTheme="minorEastAsia" w:hAnsiTheme="minorEastAsia" w:eastAsiaTheme="minorEastAsia"/>
          <w:color w:val="000000" w:themeColor="text1"/>
          <w:sz w:val="20"/>
          <w:szCs w:val="20"/>
        </w:rPr>
        <w:t>划分</w:t>
      </w:r>
      <w:r>
        <w:rPr>
          <w:rFonts w:hint="eastAsia" w:cs="Times New Roman" w:asciiTheme="minorEastAsia" w:hAnsiTheme="minorEastAsia" w:eastAsiaTheme="minorEastAsia"/>
          <w:color w:val="000000" w:themeColor="text1"/>
          <w:sz w:val="20"/>
          <w:szCs w:val="20"/>
        </w:rPr>
        <w:t>，将</w:t>
      </w:r>
      <w:r>
        <w:rPr>
          <w:rFonts w:cs="Times New Roman" w:asciiTheme="minorEastAsia" w:hAnsiTheme="minorEastAsia" w:eastAsiaTheme="minorEastAsia"/>
          <w:color w:val="000000" w:themeColor="text1"/>
          <w:sz w:val="20"/>
          <w:szCs w:val="20"/>
        </w:rPr>
        <w:t>全国划分为</w:t>
      </w:r>
      <w:r>
        <w:rPr>
          <w:rFonts w:hint="eastAsia" w:cs="Times New Roman" w:asciiTheme="minorEastAsia" w:hAnsiTheme="minorEastAsia" w:eastAsiaTheme="minorEastAsia"/>
          <w:color w:val="000000" w:themeColor="text1"/>
          <w:sz w:val="20"/>
          <w:szCs w:val="20"/>
        </w:rPr>
        <w:t>：</w:t>
      </w:r>
    </w:p>
    <w:p>
      <w:pPr>
        <w:pStyle w:val="37"/>
        <w:ind w:firstLine="400" w:firstLineChars="0"/>
        <w:rPr>
          <w:sz w:val="20"/>
          <w:szCs w:val="20"/>
        </w:rPr>
      </w:pPr>
      <w:r>
        <w:rPr>
          <w:rFonts w:hint="eastAsia"/>
          <w:sz w:val="20"/>
          <w:szCs w:val="20"/>
        </w:rPr>
        <w:t>东北经济区：辽宁、吉林和黑龙江3省；北部沿海经济区：北京、天津、河北和山东4省市；</w:t>
      </w:r>
    </w:p>
    <w:p>
      <w:pPr>
        <w:pStyle w:val="37"/>
        <w:ind w:firstLine="400"/>
        <w:rPr>
          <w:sz w:val="20"/>
          <w:szCs w:val="20"/>
        </w:rPr>
      </w:pPr>
      <w:r>
        <w:rPr>
          <w:rFonts w:hint="eastAsia"/>
          <w:sz w:val="20"/>
          <w:szCs w:val="20"/>
        </w:rPr>
        <w:t>东部</w:t>
      </w:r>
      <w:r>
        <w:rPr>
          <w:sz w:val="20"/>
          <w:szCs w:val="20"/>
        </w:rPr>
        <w:t>沿海经济区</w:t>
      </w:r>
      <w:r>
        <w:rPr>
          <w:rFonts w:hint="eastAsia"/>
          <w:sz w:val="20"/>
          <w:szCs w:val="20"/>
        </w:rPr>
        <w:t>：上海</w:t>
      </w:r>
      <w:r>
        <w:rPr>
          <w:sz w:val="20"/>
          <w:szCs w:val="20"/>
        </w:rPr>
        <w:t>、江苏</w:t>
      </w:r>
      <w:r>
        <w:rPr>
          <w:rFonts w:hint="eastAsia"/>
          <w:sz w:val="20"/>
          <w:szCs w:val="20"/>
        </w:rPr>
        <w:t>和</w:t>
      </w:r>
      <w:r>
        <w:rPr>
          <w:sz w:val="20"/>
          <w:szCs w:val="20"/>
        </w:rPr>
        <w:t>浙江</w:t>
      </w:r>
      <w:r>
        <w:rPr>
          <w:rFonts w:hint="eastAsia"/>
          <w:sz w:val="20"/>
          <w:szCs w:val="20"/>
        </w:rPr>
        <w:t>3省市；</w:t>
      </w:r>
      <w:r>
        <w:rPr>
          <w:sz w:val="20"/>
          <w:szCs w:val="20"/>
        </w:rPr>
        <w:t>南部沿海经济区</w:t>
      </w:r>
      <w:r>
        <w:rPr>
          <w:rFonts w:hint="eastAsia"/>
          <w:sz w:val="20"/>
          <w:szCs w:val="20"/>
        </w:rPr>
        <w:t>：福建</w:t>
      </w:r>
      <w:r>
        <w:rPr>
          <w:sz w:val="20"/>
          <w:szCs w:val="20"/>
        </w:rPr>
        <w:t>、广东</w:t>
      </w:r>
      <w:r>
        <w:rPr>
          <w:rFonts w:hint="eastAsia"/>
          <w:sz w:val="20"/>
          <w:szCs w:val="20"/>
        </w:rPr>
        <w:t>和</w:t>
      </w:r>
      <w:r>
        <w:rPr>
          <w:sz w:val="20"/>
          <w:szCs w:val="20"/>
        </w:rPr>
        <w:t>海南</w:t>
      </w:r>
      <w:r>
        <w:rPr>
          <w:rFonts w:hint="eastAsia"/>
          <w:sz w:val="20"/>
          <w:szCs w:val="20"/>
        </w:rPr>
        <w:t>3省</w:t>
      </w:r>
      <w:r>
        <w:rPr>
          <w:rFonts w:hint="eastAsia"/>
          <w:sz w:val="20"/>
        </w:rPr>
        <w:t>以及港澳台地区</w:t>
      </w:r>
      <w:r>
        <w:rPr>
          <w:rFonts w:hint="eastAsia"/>
          <w:sz w:val="20"/>
          <w:szCs w:val="20"/>
        </w:rPr>
        <w:t>；</w:t>
      </w:r>
    </w:p>
    <w:p>
      <w:pPr>
        <w:pStyle w:val="37"/>
        <w:ind w:firstLine="400"/>
        <w:rPr>
          <w:sz w:val="20"/>
          <w:szCs w:val="20"/>
        </w:rPr>
      </w:pPr>
      <w:r>
        <w:rPr>
          <w:rFonts w:hint="eastAsia"/>
          <w:sz w:val="20"/>
          <w:szCs w:val="20"/>
        </w:rPr>
        <w:t>黄河</w:t>
      </w:r>
      <w:r>
        <w:rPr>
          <w:sz w:val="20"/>
          <w:szCs w:val="20"/>
        </w:rPr>
        <w:t>中游经济区</w:t>
      </w:r>
      <w:r>
        <w:rPr>
          <w:rFonts w:hint="eastAsia"/>
          <w:sz w:val="20"/>
          <w:szCs w:val="20"/>
        </w:rPr>
        <w:t>：陕西</w:t>
      </w:r>
      <w:r>
        <w:rPr>
          <w:sz w:val="20"/>
          <w:szCs w:val="20"/>
        </w:rPr>
        <w:t>、</w:t>
      </w:r>
      <w:r>
        <w:rPr>
          <w:rFonts w:hint="eastAsia"/>
          <w:sz w:val="20"/>
          <w:szCs w:val="20"/>
        </w:rPr>
        <w:t>山西</w:t>
      </w:r>
      <w:r>
        <w:rPr>
          <w:sz w:val="20"/>
          <w:szCs w:val="20"/>
        </w:rPr>
        <w:t>、</w:t>
      </w:r>
      <w:r>
        <w:rPr>
          <w:rFonts w:hint="eastAsia"/>
          <w:sz w:val="20"/>
          <w:szCs w:val="20"/>
        </w:rPr>
        <w:t>河南和</w:t>
      </w:r>
      <w:r>
        <w:rPr>
          <w:sz w:val="20"/>
          <w:szCs w:val="20"/>
        </w:rPr>
        <w:t>内蒙古</w:t>
      </w:r>
      <w:r>
        <w:rPr>
          <w:rFonts w:hint="eastAsia"/>
          <w:sz w:val="20"/>
          <w:szCs w:val="20"/>
        </w:rPr>
        <w:t>4省；</w:t>
      </w:r>
      <w:r>
        <w:rPr>
          <w:sz w:val="20"/>
          <w:szCs w:val="20"/>
        </w:rPr>
        <w:t>长江中游经济区</w:t>
      </w:r>
      <w:r>
        <w:rPr>
          <w:rFonts w:hint="eastAsia"/>
          <w:sz w:val="20"/>
          <w:szCs w:val="20"/>
        </w:rPr>
        <w:t>：湖北</w:t>
      </w:r>
      <w:r>
        <w:rPr>
          <w:sz w:val="20"/>
          <w:szCs w:val="20"/>
        </w:rPr>
        <w:t>、湖南、江西</w:t>
      </w:r>
      <w:r>
        <w:rPr>
          <w:rFonts w:hint="eastAsia"/>
          <w:sz w:val="20"/>
          <w:szCs w:val="20"/>
        </w:rPr>
        <w:t>和</w:t>
      </w:r>
      <w:r>
        <w:rPr>
          <w:sz w:val="20"/>
          <w:szCs w:val="20"/>
        </w:rPr>
        <w:t>安徽</w:t>
      </w:r>
      <w:r>
        <w:rPr>
          <w:rFonts w:hint="eastAsia"/>
          <w:sz w:val="20"/>
          <w:szCs w:val="20"/>
        </w:rPr>
        <w:t>4省；</w:t>
      </w:r>
    </w:p>
    <w:p>
      <w:pPr>
        <w:pStyle w:val="37"/>
        <w:ind w:firstLine="400"/>
        <w:rPr>
          <w:sz w:val="20"/>
          <w:szCs w:val="20"/>
        </w:rPr>
      </w:pPr>
      <w:r>
        <w:rPr>
          <w:sz w:val="20"/>
          <w:szCs w:val="20"/>
        </w:rPr>
        <w:t>西南经济区</w:t>
      </w:r>
      <w:r>
        <w:rPr>
          <w:rFonts w:hint="eastAsia"/>
          <w:sz w:val="20"/>
          <w:szCs w:val="20"/>
        </w:rPr>
        <w:t>：云南</w:t>
      </w:r>
      <w:r>
        <w:rPr>
          <w:sz w:val="20"/>
          <w:szCs w:val="20"/>
        </w:rPr>
        <w:t>、贵州、四川、重庆</w:t>
      </w:r>
      <w:r>
        <w:rPr>
          <w:rFonts w:hint="eastAsia"/>
          <w:sz w:val="20"/>
          <w:szCs w:val="20"/>
        </w:rPr>
        <w:t>和</w:t>
      </w:r>
      <w:r>
        <w:rPr>
          <w:sz w:val="20"/>
          <w:szCs w:val="20"/>
        </w:rPr>
        <w:t>广西</w:t>
      </w:r>
      <w:r>
        <w:rPr>
          <w:rFonts w:hint="eastAsia"/>
          <w:sz w:val="20"/>
          <w:szCs w:val="20"/>
        </w:rPr>
        <w:t>4省市；</w:t>
      </w:r>
      <w:r>
        <w:rPr>
          <w:sz w:val="20"/>
          <w:szCs w:val="20"/>
        </w:rPr>
        <w:t>西北经济区</w:t>
      </w:r>
      <w:r>
        <w:rPr>
          <w:rFonts w:hint="eastAsia"/>
          <w:sz w:val="20"/>
          <w:szCs w:val="20"/>
        </w:rPr>
        <w:t>：甘肃</w:t>
      </w:r>
      <w:r>
        <w:rPr>
          <w:sz w:val="20"/>
          <w:szCs w:val="20"/>
        </w:rPr>
        <w:t>、青海、宁夏、西藏</w:t>
      </w:r>
      <w:r>
        <w:rPr>
          <w:rFonts w:hint="eastAsia"/>
          <w:sz w:val="20"/>
          <w:szCs w:val="20"/>
        </w:rPr>
        <w:t>和</w:t>
      </w:r>
      <w:r>
        <w:rPr>
          <w:sz w:val="20"/>
          <w:szCs w:val="20"/>
        </w:rPr>
        <w:t>新疆</w:t>
      </w:r>
      <w:r>
        <w:rPr>
          <w:rFonts w:hint="eastAsia"/>
          <w:sz w:val="20"/>
          <w:szCs w:val="20"/>
        </w:rPr>
        <w:t>4省。</w:t>
      </w:r>
    </w:p>
    <w:p>
      <w:pPr>
        <w:pStyle w:val="37"/>
        <w:ind w:firstLine="400"/>
        <w:rPr>
          <w:sz w:val="20"/>
          <w:szCs w:val="20"/>
        </w:rPr>
      </w:pPr>
      <w:r>
        <w:rPr>
          <w:rFonts w:hint="eastAsia"/>
          <w:sz w:val="20"/>
          <w:szCs w:val="20"/>
        </w:rPr>
        <w:t>为了便于研究，本报告所指北部沿海经济区仅包括天津、河北和山东。北京单独进行分析。</w:t>
      </w:r>
    </w:p>
    <w:p/>
    <w:p>
      <w:pPr>
        <w:pStyle w:val="44"/>
        <w:spacing w:before="156"/>
      </w:pPr>
      <w:r>
        <w:rPr>
          <w:rFonts w:hint="eastAsia"/>
        </w:rPr>
        <w:t>3、落实就业单位类型分布</w:t>
      </w:r>
    </w:p>
    <w:p>
      <w:pPr>
        <w:pStyle w:val="37"/>
        <w:ind w:firstLine="480"/>
      </w:pPr>
      <w:bookmarkStart w:id="27" w:name="PO_2231"/>
      <w:bookmarkEnd w:id="27"/>
      <w:r>
        <w:rPr>
          <w:rFonts w:hint="eastAsia"/>
        </w:rPr>
        <w:t>就就业单位类型而言，本校毕业生落实就业比例较高的前三名单位类型依次为：其他事业单位（34.7%）、其他（27.2%）、其他企业(民营/私营企业等)（20.7%）；落实就业比例最低的单位类型为科研设计单位（0.5%）。</w:t>
      </w:r>
    </w:p>
    <w:p>
      <w:pPr>
        <w:pStyle w:val="37"/>
        <w:ind w:firstLine="480"/>
      </w:pPr>
    </w:p>
    <w:p>
      <w:pPr>
        <w:jc w:val="center"/>
      </w:pPr>
      <w:r>
        <w:rPr>
          <w:rFonts w:hint="eastAsia"/>
        </w:rPr>
        <w:drawing>
          <wp:inline distT="0" distB="0" distL="0" distR="0">
            <wp:extent cx="6362700" cy="4048125"/>
            <wp:effectExtent l="0" t="0" r="0" b="0"/>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59"/>
        <w:spacing w:before="156" w:after="312"/>
      </w:pPr>
      <w:r>
        <w:rPr>
          <w:rFonts w:hint="eastAsia"/>
        </w:rPr>
        <w:t>落实就业单位类型分布</w:t>
      </w:r>
    </w:p>
    <w:p>
      <w:pPr>
        <w:pStyle w:val="53"/>
        <w:spacing w:before="312" w:after="156"/>
      </w:pPr>
      <w:r>
        <w:rPr>
          <w:rFonts w:hint="eastAsia"/>
        </w:rPr>
        <w:t>落实就业单位类型分布</w:t>
      </w:r>
    </w:p>
    <w:tbl>
      <w:tblPr>
        <w:tblStyle w:val="33"/>
        <w:tblW w:w="3945"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725"/>
        <w:gridCol w:w="63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725" w:type="dxa"/>
            <w:shd w:val="clear" w:color="auto" w:fill="auto"/>
            <w:vAlign w:val="center"/>
          </w:tcPr>
          <w:p>
            <w:pPr>
              <w:pStyle w:val="52"/>
              <w:ind w:firstLine="480"/>
              <w:jc w:val="center"/>
              <w:rPr>
                <w:kern w:val="0"/>
              </w:rPr>
            </w:pPr>
          </w:p>
        </w:tc>
        <w:tc>
          <w:tcPr>
            <w:tcW w:w="636" w:type="dxa"/>
            <w:shd w:val="clear" w:color="auto" w:fill="auto"/>
            <w:vAlign w:val="center"/>
          </w:tcPr>
          <w:p>
            <w:pPr>
              <w:pStyle w:val="52"/>
              <w:jc w:val="center"/>
              <w:rPr>
                <w:kern w:val="0"/>
              </w:rPr>
            </w:pPr>
            <w:r>
              <w:rPr>
                <w:rFonts w:hint="eastAsia"/>
                <w:kern w:val="0"/>
              </w:rPr>
              <w:t>人数</w:t>
            </w:r>
          </w:p>
        </w:tc>
        <w:tc>
          <w:tcPr>
            <w:tcW w:w="584" w:type="dxa"/>
            <w:shd w:val="clear" w:color="auto" w:fill="auto"/>
            <w:vAlign w:val="center"/>
          </w:tcPr>
          <w:p>
            <w:pPr>
              <w:pStyle w:val="52"/>
              <w:jc w:val="center"/>
              <w:rPr>
                <w:kern w:val="0"/>
              </w:rPr>
            </w:pPr>
            <w:r>
              <w:rPr>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机关</w:t>
            </w:r>
          </w:p>
        </w:tc>
        <w:tc>
          <w:tcPr>
            <w:tcW w:w="636"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4.2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科研设计单位</w:t>
            </w:r>
          </w:p>
        </w:tc>
        <w:tc>
          <w:tcPr>
            <w:tcW w:w="63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高等教育单位</w:t>
            </w:r>
          </w:p>
        </w:tc>
        <w:tc>
          <w:tcPr>
            <w:tcW w:w="636" w:type="dxa"/>
            <w:shd w:val="clear" w:color="auto" w:fill="auto"/>
            <w:vAlign w:val="center"/>
          </w:tcPr>
          <w:p>
            <w:pPr>
              <w:pStyle w:val="52"/>
              <w:jc w:val="center"/>
              <w:rPr>
                <w:kern w:val="0"/>
              </w:rPr>
            </w:pPr>
            <w:r>
              <w:rPr>
                <w:kern w:val="0"/>
              </w:rPr>
              <w:t>19</w:t>
            </w:r>
          </w:p>
        </w:tc>
        <w:tc>
          <w:tcPr>
            <w:tcW w:w="584" w:type="dxa"/>
            <w:shd w:val="clear" w:color="auto" w:fill="auto"/>
            <w:vAlign w:val="center"/>
          </w:tcPr>
          <w:p>
            <w:pPr>
              <w:pStyle w:val="52"/>
              <w:jc w:val="center"/>
              <w:rPr>
                <w:kern w:val="0"/>
              </w:rPr>
            </w:pPr>
            <w:r>
              <w:rPr>
                <w:kern w:val="0"/>
              </w:rPr>
              <w:t>8.9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其他事业单位</w:t>
            </w:r>
          </w:p>
        </w:tc>
        <w:tc>
          <w:tcPr>
            <w:tcW w:w="636" w:type="dxa"/>
            <w:shd w:val="clear" w:color="auto" w:fill="auto"/>
            <w:vAlign w:val="center"/>
          </w:tcPr>
          <w:p>
            <w:pPr>
              <w:pStyle w:val="52"/>
              <w:jc w:val="center"/>
              <w:rPr>
                <w:kern w:val="0"/>
              </w:rPr>
            </w:pPr>
            <w:r>
              <w:rPr>
                <w:kern w:val="0"/>
              </w:rPr>
              <w:t>74</w:t>
            </w:r>
          </w:p>
        </w:tc>
        <w:tc>
          <w:tcPr>
            <w:tcW w:w="584" w:type="dxa"/>
            <w:shd w:val="clear" w:color="auto" w:fill="auto"/>
            <w:vAlign w:val="center"/>
          </w:tcPr>
          <w:p>
            <w:pPr>
              <w:pStyle w:val="52"/>
              <w:jc w:val="center"/>
              <w:rPr>
                <w:kern w:val="0"/>
              </w:rPr>
            </w:pPr>
            <w:r>
              <w:rPr>
                <w:kern w:val="0"/>
              </w:rPr>
              <w:t>34.7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725" w:type="dxa"/>
            <w:shd w:val="clear" w:color="auto" w:fill="auto"/>
            <w:vAlign w:val="center"/>
          </w:tcPr>
          <w:p>
            <w:pPr>
              <w:pStyle w:val="52"/>
              <w:rPr>
                <w:kern w:val="0"/>
              </w:rPr>
            </w:pPr>
            <w:r>
              <w:rPr>
                <w:rFonts w:hint="eastAsia"/>
                <w:kern w:val="0"/>
              </w:rPr>
              <w:t>国有企业</w:t>
            </w:r>
          </w:p>
        </w:tc>
        <w:tc>
          <w:tcPr>
            <w:tcW w:w="63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其他企业(民营/私营企业等)</w:t>
            </w:r>
          </w:p>
        </w:tc>
        <w:tc>
          <w:tcPr>
            <w:tcW w:w="636" w:type="dxa"/>
            <w:shd w:val="clear" w:color="auto" w:fill="auto"/>
            <w:vAlign w:val="center"/>
          </w:tcPr>
          <w:p>
            <w:pPr>
              <w:pStyle w:val="52"/>
              <w:jc w:val="center"/>
              <w:rPr>
                <w:kern w:val="0"/>
              </w:rPr>
            </w:pPr>
            <w:r>
              <w:rPr>
                <w:kern w:val="0"/>
              </w:rPr>
              <w:t>44</w:t>
            </w:r>
          </w:p>
        </w:tc>
        <w:tc>
          <w:tcPr>
            <w:tcW w:w="584" w:type="dxa"/>
            <w:shd w:val="clear" w:color="auto" w:fill="auto"/>
            <w:vAlign w:val="center"/>
          </w:tcPr>
          <w:p>
            <w:pPr>
              <w:pStyle w:val="52"/>
              <w:jc w:val="center"/>
              <w:rPr>
                <w:kern w:val="0"/>
              </w:rPr>
            </w:pPr>
            <w:r>
              <w:rPr>
                <w:kern w:val="0"/>
              </w:rPr>
              <w:t>20.7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部队</w:t>
            </w:r>
          </w:p>
        </w:tc>
        <w:tc>
          <w:tcPr>
            <w:tcW w:w="63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农村建制村</w:t>
            </w:r>
          </w:p>
        </w:tc>
        <w:tc>
          <w:tcPr>
            <w:tcW w:w="636"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1.4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725" w:type="dxa"/>
            <w:shd w:val="clear" w:color="auto" w:fill="auto"/>
            <w:vAlign w:val="center"/>
          </w:tcPr>
          <w:p>
            <w:pPr>
              <w:pStyle w:val="52"/>
              <w:rPr>
                <w:kern w:val="0"/>
              </w:rPr>
            </w:pPr>
            <w:r>
              <w:rPr>
                <w:rFonts w:hint="eastAsia"/>
                <w:kern w:val="0"/>
              </w:rPr>
              <w:t>其他</w:t>
            </w:r>
          </w:p>
        </w:tc>
        <w:tc>
          <w:tcPr>
            <w:tcW w:w="636" w:type="dxa"/>
            <w:shd w:val="clear" w:color="auto" w:fill="auto"/>
            <w:vAlign w:val="center"/>
          </w:tcPr>
          <w:p>
            <w:pPr>
              <w:pStyle w:val="52"/>
              <w:jc w:val="center"/>
              <w:rPr>
                <w:kern w:val="0"/>
              </w:rPr>
            </w:pPr>
            <w:r>
              <w:rPr>
                <w:kern w:val="0"/>
              </w:rPr>
              <w:t>58</w:t>
            </w:r>
          </w:p>
        </w:tc>
        <w:tc>
          <w:tcPr>
            <w:tcW w:w="584" w:type="dxa"/>
            <w:shd w:val="clear" w:color="auto" w:fill="auto"/>
            <w:vAlign w:val="center"/>
          </w:tcPr>
          <w:p>
            <w:pPr>
              <w:pStyle w:val="52"/>
              <w:jc w:val="center"/>
              <w:rPr>
                <w:kern w:val="0"/>
              </w:rPr>
            </w:pPr>
            <w:r>
              <w:rPr>
                <w:kern w:val="0"/>
              </w:rPr>
              <w:t>27.2</w:t>
            </w:r>
          </w:p>
        </w:tc>
      </w:tr>
    </w:tbl>
    <w:p>
      <w:pPr>
        <w:pStyle w:val="37"/>
        <w:ind w:firstLine="420"/>
        <w:rPr>
          <w:sz w:val="21"/>
          <w:szCs w:val="22"/>
        </w:rPr>
      </w:pPr>
    </w:p>
    <w:p>
      <w:pPr>
        <w:pStyle w:val="37"/>
        <w:ind w:firstLine="480"/>
      </w:pPr>
    </w:p>
    <w:p>
      <w:pPr>
        <w:pStyle w:val="44"/>
        <w:spacing w:before="156"/>
      </w:pPr>
      <w:r>
        <w:rPr>
          <w:rFonts w:hint="eastAsia"/>
        </w:rPr>
        <w:t>4、落实就业行业分布</w:t>
      </w:r>
    </w:p>
    <w:p>
      <w:pPr>
        <w:pStyle w:val="37"/>
        <w:ind w:firstLine="480"/>
      </w:pPr>
      <w:bookmarkStart w:id="28" w:name="PO_2241"/>
      <w:bookmarkEnd w:id="28"/>
      <w:r>
        <w:rPr>
          <w:rFonts w:hint="eastAsia"/>
        </w:rPr>
        <w:t>就就业行业而言，本校毕业生落实就业比例较高的前三个行业依次为：文化、体育和娱乐业（82.6%）、公共管理、社会保障和社会组织（9.3%）、教育（3.1%）；落实就业比例最低的行业为房地产业（0.2%）。</w:t>
      </w:r>
    </w:p>
    <w:p>
      <w:pPr>
        <w:pStyle w:val="37"/>
        <w:ind w:firstLine="480"/>
        <w:rPr>
          <w:rFonts w:hint="eastAsia"/>
        </w:rPr>
      </w:pPr>
    </w:p>
    <w:p>
      <w:pPr>
        <w:jc w:val="center"/>
      </w:pPr>
      <w:r>
        <w:rPr>
          <w:rFonts w:hint="eastAsia"/>
        </w:rPr>
        <w:drawing>
          <wp:inline distT="0" distB="0" distL="0" distR="0">
            <wp:extent cx="6162675" cy="3514725"/>
            <wp:effectExtent l="0" t="0" r="0" b="0"/>
            <wp:docPr id="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59"/>
        <w:spacing w:before="156" w:after="312"/>
      </w:pPr>
      <w:r>
        <w:rPr>
          <w:rFonts w:hint="eastAsia"/>
        </w:rPr>
        <w:t>落实就业行业分布</w:t>
      </w:r>
    </w:p>
    <w:p>
      <w:pPr>
        <w:pStyle w:val="53"/>
        <w:spacing w:before="312" w:after="156"/>
      </w:pPr>
      <w:r>
        <w:rPr>
          <w:rFonts w:hint="eastAsia"/>
        </w:rPr>
        <w:t>落实就业行业分布</w:t>
      </w:r>
    </w:p>
    <w:tbl>
      <w:tblPr>
        <w:tblStyle w:val="33"/>
        <w:tblW w:w="458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3366"/>
        <w:gridCol w:w="63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3366" w:type="dxa"/>
            <w:shd w:val="clear" w:color="auto" w:fill="auto"/>
            <w:vAlign w:val="center"/>
          </w:tcPr>
          <w:p>
            <w:pPr>
              <w:pStyle w:val="52"/>
              <w:ind w:firstLine="480"/>
              <w:jc w:val="center"/>
              <w:rPr>
                <w:kern w:val="0"/>
              </w:rPr>
            </w:pPr>
          </w:p>
        </w:tc>
        <w:tc>
          <w:tcPr>
            <w:tcW w:w="636" w:type="dxa"/>
            <w:shd w:val="clear" w:color="auto" w:fill="auto"/>
            <w:vAlign w:val="center"/>
          </w:tcPr>
          <w:p>
            <w:pPr>
              <w:pStyle w:val="52"/>
              <w:jc w:val="center"/>
              <w:rPr>
                <w:kern w:val="0"/>
              </w:rPr>
            </w:pPr>
            <w:r>
              <w:rPr>
                <w:rFonts w:hint="eastAsia"/>
                <w:kern w:val="0"/>
              </w:rPr>
              <w:t>人数</w:t>
            </w:r>
          </w:p>
        </w:tc>
        <w:tc>
          <w:tcPr>
            <w:tcW w:w="584" w:type="dxa"/>
            <w:shd w:val="clear" w:color="auto" w:fill="auto"/>
            <w:vAlign w:val="center"/>
          </w:tcPr>
          <w:p>
            <w:pPr>
              <w:pStyle w:val="52"/>
              <w:jc w:val="center"/>
              <w:rPr>
                <w:kern w:val="0"/>
              </w:rPr>
            </w:pPr>
            <w:r>
              <w:rPr>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农、林、牧、渔业</w:t>
            </w:r>
          </w:p>
        </w:tc>
        <w:tc>
          <w:tcPr>
            <w:tcW w:w="636" w:type="dxa"/>
            <w:shd w:val="clear" w:color="auto" w:fill="auto"/>
            <w:vAlign w:val="center"/>
          </w:tcPr>
          <w:p>
            <w:pPr>
              <w:pStyle w:val="52"/>
              <w:jc w:val="center"/>
              <w:rPr>
                <w:kern w:val="0"/>
              </w:rPr>
            </w:pPr>
            <w:r>
              <w:rPr>
                <w:kern w:val="0"/>
              </w:rPr>
              <w:t>6</w:t>
            </w:r>
          </w:p>
        </w:tc>
        <w:tc>
          <w:tcPr>
            <w:tcW w:w="584" w:type="dxa"/>
            <w:shd w:val="clear" w:color="auto" w:fill="auto"/>
            <w:vAlign w:val="center"/>
          </w:tcPr>
          <w:p>
            <w:pPr>
              <w:pStyle w:val="52"/>
              <w:jc w:val="center"/>
              <w:rPr>
                <w:kern w:val="0"/>
              </w:rPr>
            </w:pPr>
            <w:r>
              <w:rPr>
                <w:kern w:val="0"/>
              </w:rPr>
              <w:t>1.4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批发和零售业</w:t>
            </w:r>
          </w:p>
        </w:tc>
        <w:tc>
          <w:tcPr>
            <w:tcW w:w="63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0.5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信息传输、软件和信息技术服务业</w:t>
            </w:r>
          </w:p>
        </w:tc>
        <w:tc>
          <w:tcPr>
            <w:tcW w:w="63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金融业</w:t>
            </w:r>
          </w:p>
        </w:tc>
        <w:tc>
          <w:tcPr>
            <w:tcW w:w="63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3366" w:type="dxa"/>
            <w:shd w:val="clear" w:color="auto" w:fill="auto"/>
            <w:vAlign w:val="center"/>
          </w:tcPr>
          <w:p>
            <w:pPr>
              <w:pStyle w:val="52"/>
              <w:rPr>
                <w:kern w:val="0"/>
              </w:rPr>
            </w:pPr>
            <w:r>
              <w:rPr>
                <w:rFonts w:hint="eastAsia"/>
                <w:kern w:val="0"/>
              </w:rPr>
              <w:t>房地产业</w:t>
            </w:r>
          </w:p>
        </w:tc>
        <w:tc>
          <w:tcPr>
            <w:tcW w:w="63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科学研究和技术服务业</w:t>
            </w:r>
          </w:p>
        </w:tc>
        <w:tc>
          <w:tcPr>
            <w:tcW w:w="63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0.5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居民服务、修理和其他服务业</w:t>
            </w:r>
          </w:p>
        </w:tc>
        <w:tc>
          <w:tcPr>
            <w:tcW w:w="63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教育</w:t>
            </w:r>
          </w:p>
        </w:tc>
        <w:tc>
          <w:tcPr>
            <w:tcW w:w="636" w:type="dxa"/>
            <w:shd w:val="clear" w:color="auto" w:fill="auto"/>
            <w:vAlign w:val="center"/>
          </w:tcPr>
          <w:p>
            <w:pPr>
              <w:pStyle w:val="52"/>
              <w:jc w:val="center"/>
              <w:rPr>
                <w:kern w:val="0"/>
              </w:rPr>
            </w:pPr>
            <w:r>
              <w:rPr>
                <w:kern w:val="0"/>
              </w:rPr>
              <w:t>13</w:t>
            </w:r>
          </w:p>
        </w:tc>
        <w:tc>
          <w:tcPr>
            <w:tcW w:w="584" w:type="dxa"/>
            <w:shd w:val="clear" w:color="auto" w:fill="auto"/>
            <w:vAlign w:val="center"/>
          </w:tcPr>
          <w:p>
            <w:pPr>
              <w:pStyle w:val="52"/>
              <w:jc w:val="center"/>
              <w:rPr>
                <w:kern w:val="0"/>
              </w:rPr>
            </w:pPr>
            <w:r>
              <w:rPr>
                <w:kern w:val="0"/>
              </w:rPr>
              <w:t>3.1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卫生和社会工作</w:t>
            </w:r>
          </w:p>
        </w:tc>
        <w:tc>
          <w:tcPr>
            <w:tcW w:w="63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3366" w:type="dxa"/>
            <w:shd w:val="clear" w:color="auto" w:fill="auto"/>
            <w:vAlign w:val="center"/>
          </w:tcPr>
          <w:p>
            <w:pPr>
              <w:pStyle w:val="52"/>
              <w:rPr>
                <w:kern w:val="0"/>
              </w:rPr>
            </w:pPr>
            <w:r>
              <w:rPr>
                <w:rFonts w:hint="eastAsia"/>
                <w:kern w:val="0"/>
              </w:rPr>
              <w:t>文化、体育和娱乐业</w:t>
            </w:r>
          </w:p>
        </w:tc>
        <w:tc>
          <w:tcPr>
            <w:tcW w:w="636" w:type="dxa"/>
            <w:shd w:val="clear" w:color="auto" w:fill="auto"/>
            <w:vAlign w:val="center"/>
          </w:tcPr>
          <w:p>
            <w:pPr>
              <w:pStyle w:val="52"/>
              <w:jc w:val="center"/>
              <w:rPr>
                <w:kern w:val="0"/>
              </w:rPr>
            </w:pPr>
            <w:r>
              <w:rPr>
                <w:kern w:val="0"/>
              </w:rPr>
              <w:t>342</w:t>
            </w:r>
          </w:p>
        </w:tc>
        <w:tc>
          <w:tcPr>
            <w:tcW w:w="584" w:type="dxa"/>
            <w:shd w:val="clear" w:color="auto" w:fill="auto"/>
            <w:vAlign w:val="center"/>
          </w:tcPr>
          <w:p>
            <w:pPr>
              <w:pStyle w:val="52"/>
              <w:jc w:val="center"/>
              <w:rPr>
                <w:kern w:val="0"/>
              </w:rPr>
            </w:pPr>
            <w:r>
              <w:rPr>
                <w:kern w:val="0"/>
              </w:rPr>
              <w:t>82.6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3366" w:type="dxa"/>
            <w:shd w:val="clear" w:color="auto" w:fill="auto"/>
            <w:vAlign w:val="center"/>
          </w:tcPr>
          <w:p>
            <w:pPr>
              <w:pStyle w:val="52"/>
              <w:rPr>
                <w:kern w:val="0"/>
              </w:rPr>
            </w:pPr>
            <w:r>
              <w:rPr>
                <w:rFonts w:hint="eastAsia"/>
                <w:kern w:val="0"/>
              </w:rPr>
              <w:t>公共管理、社会保障和社会组织</w:t>
            </w:r>
          </w:p>
        </w:tc>
        <w:tc>
          <w:tcPr>
            <w:tcW w:w="636" w:type="dxa"/>
            <w:shd w:val="clear" w:color="auto" w:fill="auto"/>
            <w:vAlign w:val="center"/>
          </w:tcPr>
          <w:p>
            <w:pPr>
              <w:pStyle w:val="52"/>
              <w:jc w:val="center"/>
              <w:rPr>
                <w:kern w:val="0"/>
              </w:rPr>
            </w:pPr>
            <w:r>
              <w:rPr>
                <w:kern w:val="0"/>
              </w:rPr>
              <w:t>38</w:t>
            </w:r>
          </w:p>
        </w:tc>
        <w:tc>
          <w:tcPr>
            <w:tcW w:w="584" w:type="dxa"/>
            <w:shd w:val="clear" w:color="auto" w:fill="auto"/>
            <w:vAlign w:val="center"/>
          </w:tcPr>
          <w:p>
            <w:pPr>
              <w:pStyle w:val="52"/>
              <w:jc w:val="center"/>
              <w:rPr>
                <w:kern w:val="0"/>
              </w:rPr>
            </w:pPr>
            <w:r>
              <w:rPr>
                <w:kern w:val="0"/>
              </w:rPr>
              <w:t>9.3</w:t>
            </w:r>
          </w:p>
        </w:tc>
      </w:tr>
    </w:tbl>
    <w:p>
      <w:pPr>
        <w:pStyle w:val="37"/>
        <w:ind w:firstLine="0" w:firstLineChars="0"/>
        <w:sectPr>
          <w:pgSz w:w="11906" w:h="16838"/>
          <w:pgMar w:top="1418" w:right="1134" w:bottom="1418" w:left="1134" w:header="851" w:footer="857" w:gutter="0"/>
          <w:cols w:space="425" w:num="1"/>
          <w:docGrid w:type="lines" w:linePitch="312" w:charSpace="0"/>
        </w:sectPr>
      </w:pPr>
    </w:p>
    <w:p>
      <w:pPr>
        <w:pStyle w:val="40"/>
        <w:spacing w:before="156" w:beforeLines="50" w:after="936"/>
      </w:pPr>
      <w:r>
        <w:pict>
          <v:rect id="Rectangle 3" o:spid="_x0000_s1028" o:spt="1" style="position:absolute;left:0pt;margin-left:-57.45pt;margin-top:38.2pt;height:4.5pt;width:598.5pt;z-index:251658240;mso-width-relative:page;mso-height-relative:page;" fillcolor="#E36C0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">
            <v:path/>
            <v:fill type="gradient" on="t" color2="#E7822F" opacity="0f" angle="90" focus="100%" focussize="0f,0f" rotate="t"/>
            <v:stroke on="f"/>
            <v:imagedata o:title=""/>
            <o:lock v:ext="edit"/>
          </v:rect>
        </w:pict>
      </w:r>
      <w:bookmarkStart w:id="29" w:name="_Toc470167340"/>
      <w:bookmarkStart w:id="30" w:name="_Toc435125875"/>
      <w:r>
        <w:rPr>
          <w:rFonts w:hint="eastAsia"/>
        </w:rPr>
        <w:t>第三章　毕业生调查数据分析</w:t>
      </w:r>
      <w:bookmarkEnd w:id="29"/>
      <w:bookmarkEnd w:id="30"/>
    </w:p>
    <w:p>
      <w:pPr>
        <w:pStyle w:val="43"/>
        <w:spacing w:beforeLines="0" w:after="156"/>
      </w:pPr>
      <w:bookmarkStart w:id="31" w:name="_Toc401579169"/>
      <w:bookmarkStart w:id="32" w:name="_Toc470167341"/>
      <w:bookmarkStart w:id="33" w:name="_Toc435125876"/>
      <w:r>
        <w:t>一、</w:t>
      </w:r>
      <w:bookmarkEnd w:id="31"/>
      <w:r>
        <w:rPr>
          <w:rFonts w:hint="eastAsia"/>
        </w:rPr>
        <w:t>引言</w:t>
      </w:r>
      <w:bookmarkEnd w:id="32"/>
      <w:bookmarkEnd w:id="33"/>
    </w:p>
    <w:p>
      <w:pPr>
        <w:pStyle w:val="44"/>
        <w:spacing w:before="156"/>
      </w:pPr>
      <w:bookmarkStart w:id="34" w:name="_Toc435125877"/>
      <w:bookmarkStart w:id="35" w:name="_Toc470167342"/>
      <w:r>
        <w:rPr>
          <w:rFonts w:hint="eastAsia"/>
        </w:rPr>
        <w:t>（一）调查</w:t>
      </w:r>
      <w:r>
        <w:t>方法</w:t>
      </w:r>
      <w:bookmarkEnd w:id="34"/>
      <w:bookmarkEnd w:id="35"/>
    </w:p>
    <w:p>
      <w:pPr>
        <w:pStyle w:val="37"/>
        <w:ind w:firstLine="480"/>
      </w:pPr>
      <w:r>
        <w:rPr>
          <w:rFonts w:hint="eastAsia"/>
        </w:rPr>
        <w:t>本章所有分析数据来源于</w:t>
      </w:r>
      <w:bookmarkStart w:id="36" w:name="PO_title11"/>
      <w:bookmarkEnd w:id="36"/>
      <w:r>
        <w:rPr>
          <w:rFonts w:hint="eastAsia"/>
        </w:rPr>
        <w:t>中央戏剧学院2016届毕业生就业状况调查。本调查采用问卷法，问卷共45道题，包括毕业生基本情况、教育培养与就业服务、求职过程、就业结果和自主创业五个部分，不同去向的毕业生分别回答问卷中不同部分的题目。</w:t>
      </w:r>
    </w:p>
    <w:p>
      <w:pPr>
        <w:pStyle w:val="37"/>
        <w:ind w:firstLine="480"/>
      </w:pPr>
      <w:r>
        <w:rPr>
          <w:rFonts w:hint="eastAsia"/>
        </w:rPr>
        <w:t>2016年4月，我们面向</w:t>
      </w:r>
      <w:bookmarkStart w:id="37" w:name="PO_title12"/>
      <w:bookmarkEnd w:id="37"/>
      <w:r>
        <w:rPr>
          <w:rFonts w:hint="eastAsia"/>
        </w:rPr>
        <w:t>中央戏剧学院2016届毕业生进行网络问卷调查，并制定了科学完善的数据清理标准。在对重复数据、缺失数据等数据进行细致全面的清理后，去除了无效问卷，最终有效问卷为</w:t>
      </w:r>
      <w:bookmarkStart w:id="38" w:name="PO_COUNT1"/>
      <w:bookmarkEnd w:id="38"/>
      <w:r>
        <w:t>299</w:t>
      </w:r>
      <w:r>
        <w:rPr>
          <w:rFonts w:hint="eastAsia"/>
        </w:rPr>
        <w:t>份。</w:t>
      </w:r>
    </w:p>
    <w:p>
      <w:pPr>
        <w:pStyle w:val="44"/>
        <w:spacing w:before="156"/>
      </w:pPr>
      <w:bookmarkStart w:id="39" w:name="_Toc470167343"/>
      <w:bookmarkStart w:id="40" w:name="_Toc435125878"/>
      <w:r>
        <w:rPr>
          <w:rFonts w:hint="eastAsia"/>
        </w:rPr>
        <w:t>（二）分析</w:t>
      </w:r>
      <w:r>
        <w:t>方法</w:t>
      </w:r>
      <w:bookmarkEnd w:id="39"/>
      <w:bookmarkEnd w:id="40"/>
    </w:p>
    <w:p>
      <w:pPr>
        <w:spacing w:line="30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数据清理后，使用统计分析软件SPSS20.0进行分析。具体采用频率分析、交叉分析、方差分析等方法。</w:t>
      </w:r>
    </w:p>
    <w:p>
      <w:pPr>
        <w:pStyle w:val="44"/>
        <w:spacing w:before="156"/>
      </w:pPr>
      <w:bookmarkStart w:id="41" w:name="_Toc470167344"/>
      <w:bookmarkStart w:id="42" w:name="_Toc435125879"/>
      <w:r>
        <w:rPr>
          <w:rFonts w:hint="eastAsia"/>
        </w:rPr>
        <w:t>（三）样本特征</w:t>
      </w:r>
      <w:bookmarkEnd w:id="41"/>
      <w:bookmarkEnd w:id="42"/>
    </w:p>
    <w:p>
      <w:pPr>
        <w:pStyle w:val="37"/>
        <w:ind w:firstLine="480"/>
      </w:pPr>
      <w:bookmarkStart w:id="43" w:name="PO_3131"/>
      <w:bookmarkEnd w:id="43"/>
      <w:r>
        <w:rPr>
          <w:rFonts w:hint="eastAsia"/>
        </w:rPr>
        <w:t>此次中央戏剧学院2016届毕业生就业状况调查有效样本的数量为299份，在性别、生源地区、学历层次方面的分布如下表所示，其中男生占35.5%，女生占64.5%；北京生源占9.0%，京外生源占91.0%；专科生占10.4%，本科生占75.6%，硕士生占13.4%，博士生占0.7%。</w:t>
      </w:r>
    </w:p>
    <w:p>
      <w:pPr>
        <w:pStyle w:val="53"/>
        <w:spacing w:before="312" w:after="156"/>
      </w:pPr>
      <w:r>
        <w:rPr>
          <w:rFonts w:hint="eastAsia"/>
        </w:rPr>
        <w:t>调查样本性别、生源地、学历层次分布</w:t>
      </w:r>
    </w:p>
    <w:tbl>
      <w:tblPr>
        <w:tblStyle w:val="33"/>
        <w:tblW w:w="3227"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1056"/>
        <w:gridCol w:w="531"/>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tcBorders>
              <w:bottom w:val="single" w:color="00B050" w:sz="8" w:space="0"/>
              <w:right w:val="dotted" w:color="00B050" w:sz="8" w:space="0"/>
            </w:tcBorders>
            <w:shd w:val="clear" w:color="auto" w:fill="auto"/>
            <w:vAlign w:val="center"/>
          </w:tcPr>
          <w:p>
            <w:pPr>
              <w:pStyle w:val="52"/>
              <w:ind w:firstLine="480"/>
              <w:jc w:val="center"/>
              <w:rPr>
                <w:kern w:val="0"/>
              </w:rPr>
            </w:pPr>
          </w:p>
        </w:tc>
        <w:tc>
          <w:tcPr>
            <w:tcW w:w="1056" w:type="dxa"/>
            <w:tcBorders>
              <w:left w:val="dotted" w:color="00B050" w:sz="8" w:space="0"/>
              <w:bottom w:val="single" w:color="00B050" w:sz="8" w:space="0"/>
            </w:tcBorders>
            <w:shd w:val="clear" w:color="auto" w:fill="auto"/>
            <w:vAlign w:val="center"/>
          </w:tcPr>
          <w:p>
            <w:pPr>
              <w:pStyle w:val="52"/>
              <w:jc w:val="center"/>
              <w:rPr>
                <w:kern w:val="0"/>
              </w:rPr>
            </w:pPr>
          </w:p>
        </w:tc>
        <w:tc>
          <w:tcPr>
            <w:tcW w:w="531"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tcBorders>
              <w:top w:val="single" w:color="00B050" w:sz="8" w:space="0"/>
            </w:tcBorders>
            <w:shd w:val="clear" w:color="auto" w:fill="auto"/>
            <w:vAlign w:val="center"/>
          </w:tcPr>
          <w:p>
            <w:pPr>
              <w:pStyle w:val="52"/>
              <w:jc w:val="center"/>
              <w:rPr>
                <w:kern w:val="0"/>
              </w:rPr>
            </w:pPr>
            <w:r>
              <w:rPr>
                <w:rFonts w:hint="eastAsia"/>
                <w:kern w:val="0"/>
              </w:rPr>
              <w:t>性别</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男生</w:t>
            </w:r>
          </w:p>
        </w:tc>
        <w:tc>
          <w:tcPr>
            <w:tcW w:w="531" w:type="dxa"/>
            <w:shd w:val="clear" w:color="auto" w:fill="auto"/>
            <w:vAlign w:val="center"/>
          </w:tcPr>
          <w:p>
            <w:pPr>
              <w:pStyle w:val="52"/>
              <w:jc w:val="center"/>
              <w:rPr>
                <w:kern w:val="0"/>
              </w:rPr>
            </w:pPr>
            <w:r>
              <w:rPr>
                <w:kern w:val="0"/>
              </w:rPr>
              <w:t>106</w:t>
            </w:r>
          </w:p>
        </w:tc>
        <w:tc>
          <w:tcPr>
            <w:tcW w:w="584" w:type="dxa"/>
            <w:shd w:val="clear" w:color="auto" w:fill="auto"/>
            <w:vAlign w:val="center"/>
          </w:tcPr>
          <w:p>
            <w:pPr>
              <w:pStyle w:val="52"/>
              <w:jc w:val="center"/>
              <w:rPr>
                <w:kern w:val="0"/>
              </w:rPr>
            </w:pPr>
            <w:r>
              <w:rPr>
                <w:kern w:val="0"/>
              </w:rPr>
              <w:t>35.5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女生</w:t>
            </w:r>
          </w:p>
        </w:tc>
        <w:tc>
          <w:tcPr>
            <w:tcW w:w="531" w:type="dxa"/>
            <w:shd w:val="clear" w:color="auto" w:fill="auto"/>
            <w:vAlign w:val="center"/>
          </w:tcPr>
          <w:p>
            <w:pPr>
              <w:pStyle w:val="52"/>
              <w:jc w:val="center"/>
              <w:rPr>
                <w:kern w:val="0"/>
              </w:rPr>
            </w:pPr>
            <w:r>
              <w:rPr>
                <w:kern w:val="0"/>
              </w:rPr>
              <w:t>193</w:t>
            </w:r>
          </w:p>
        </w:tc>
        <w:tc>
          <w:tcPr>
            <w:tcW w:w="584" w:type="dxa"/>
            <w:shd w:val="clear" w:color="auto" w:fill="auto"/>
            <w:vAlign w:val="center"/>
          </w:tcPr>
          <w:p>
            <w:pPr>
              <w:pStyle w:val="52"/>
              <w:jc w:val="center"/>
              <w:rPr>
                <w:kern w:val="0"/>
              </w:rPr>
            </w:pPr>
            <w:r>
              <w:rPr>
                <w:kern w:val="0"/>
              </w:rPr>
              <w:t>64.5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shd w:val="clear" w:color="auto" w:fill="auto"/>
            <w:vAlign w:val="center"/>
          </w:tcPr>
          <w:p>
            <w:pPr>
              <w:pStyle w:val="52"/>
              <w:jc w:val="center"/>
              <w:rPr>
                <w:kern w:val="0"/>
              </w:rPr>
            </w:pPr>
            <w:r>
              <w:rPr>
                <w:rFonts w:hint="eastAsia"/>
                <w:kern w:val="0"/>
              </w:rPr>
              <w:t>生源地区</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北京生源</w:t>
            </w:r>
          </w:p>
        </w:tc>
        <w:tc>
          <w:tcPr>
            <w:tcW w:w="531" w:type="dxa"/>
            <w:shd w:val="clear" w:color="auto" w:fill="auto"/>
            <w:vAlign w:val="center"/>
          </w:tcPr>
          <w:p>
            <w:pPr>
              <w:pStyle w:val="52"/>
              <w:jc w:val="center"/>
              <w:rPr>
                <w:kern w:val="0"/>
              </w:rPr>
            </w:pPr>
            <w:r>
              <w:rPr>
                <w:kern w:val="0"/>
              </w:rPr>
              <w:t>27</w:t>
            </w:r>
          </w:p>
        </w:tc>
        <w:tc>
          <w:tcPr>
            <w:tcW w:w="584" w:type="dxa"/>
            <w:shd w:val="clear" w:color="auto" w:fill="auto"/>
            <w:vAlign w:val="center"/>
          </w:tcPr>
          <w:p>
            <w:pPr>
              <w:pStyle w:val="52"/>
              <w:jc w:val="center"/>
              <w:rPr>
                <w:kern w:val="0"/>
              </w:rPr>
            </w:pPr>
            <w:r>
              <w:rPr>
                <w:kern w:val="0"/>
              </w:rPr>
              <w:t>9.0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京外生源</w:t>
            </w:r>
          </w:p>
        </w:tc>
        <w:tc>
          <w:tcPr>
            <w:tcW w:w="531" w:type="dxa"/>
            <w:shd w:val="clear" w:color="auto" w:fill="auto"/>
            <w:vAlign w:val="center"/>
          </w:tcPr>
          <w:p>
            <w:pPr>
              <w:pStyle w:val="52"/>
              <w:jc w:val="center"/>
              <w:rPr>
                <w:kern w:val="0"/>
              </w:rPr>
            </w:pPr>
            <w:r>
              <w:rPr>
                <w:kern w:val="0"/>
              </w:rPr>
              <w:t>272</w:t>
            </w:r>
          </w:p>
        </w:tc>
        <w:tc>
          <w:tcPr>
            <w:tcW w:w="584" w:type="dxa"/>
            <w:shd w:val="clear" w:color="auto" w:fill="auto"/>
            <w:vAlign w:val="center"/>
          </w:tcPr>
          <w:p>
            <w:pPr>
              <w:pStyle w:val="52"/>
              <w:jc w:val="center"/>
              <w:rPr>
                <w:kern w:val="0"/>
              </w:rPr>
            </w:pPr>
            <w:r>
              <w:rPr>
                <w:kern w:val="0"/>
              </w:rPr>
              <w:t>91.0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056" w:type="dxa"/>
            <w:vMerge w:val="restart"/>
            <w:shd w:val="clear" w:color="auto" w:fill="auto"/>
            <w:vAlign w:val="center"/>
          </w:tcPr>
          <w:p>
            <w:pPr>
              <w:pStyle w:val="52"/>
              <w:jc w:val="center"/>
              <w:rPr>
                <w:kern w:val="0"/>
              </w:rPr>
            </w:pPr>
            <w:r>
              <w:rPr>
                <w:rFonts w:hint="eastAsia"/>
                <w:kern w:val="0"/>
              </w:rPr>
              <w:t>学历层次</w:t>
            </w: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专科生</w:t>
            </w:r>
          </w:p>
        </w:tc>
        <w:tc>
          <w:tcPr>
            <w:tcW w:w="531" w:type="dxa"/>
            <w:shd w:val="clear" w:color="auto" w:fill="auto"/>
            <w:vAlign w:val="center"/>
          </w:tcPr>
          <w:p>
            <w:pPr>
              <w:pStyle w:val="52"/>
              <w:jc w:val="center"/>
              <w:rPr>
                <w:kern w:val="0"/>
              </w:rPr>
            </w:pPr>
            <w:r>
              <w:rPr>
                <w:kern w:val="0"/>
              </w:rPr>
              <w:t>31</w:t>
            </w:r>
          </w:p>
        </w:tc>
        <w:tc>
          <w:tcPr>
            <w:tcW w:w="584" w:type="dxa"/>
            <w:shd w:val="clear" w:color="auto" w:fill="auto"/>
            <w:vAlign w:val="center"/>
          </w:tcPr>
          <w:p>
            <w:pPr>
              <w:pStyle w:val="52"/>
              <w:jc w:val="center"/>
              <w:rPr>
                <w:kern w:val="0"/>
              </w:rPr>
            </w:pPr>
            <w:r>
              <w:rPr>
                <w:kern w:val="0"/>
              </w:rPr>
              <w:t>10.4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本科生</w:t>
            </w:r>
          </w:p>
        </w:tc>
        <w:tc>
          <w:tcPr>
            <w:tcW w:w="531" w:type="dxa"/>
            <w:shd w:val="clear" w:color="auto" w:fill="auto"/>
            <w:vAlign w:val="center"/>
          </w:tcPr>
          <w:p>
            <w:pPr>
              <w:pStyle w:val="52"/>
              <w:jc w:val="center"/>
              <w:rPr>
                <w:kern w:val="0"/>
              </w:rPr>
            </w:pPr>
            <w:r>
              <w:rPr>
                <w:kern w:val="0"/>
              </w:rPr>
              <w:t>226</w:t>
            </w:r>
          </w:p>
        </w:tc>
        <w:tc>
          <w:tcPr>
            <w:tcW w:w="584" w:type="dxa"/>
            <w:shd w:val="clear" w:color="auto" w:fill="auto"/>
            <w:vAlign w:val="center"/>
          </w:tcPr>
          <w:p>
            <w:pPr>
              <w:pStyle w:val="52"/>
              <w:jc w:val="center"/>
              <w:rPr>
                <w:kern w:val="0"/>
              </w:rPr>
            </w:pPr>
            <w:r>
              <w:rPr>
                <w:kern w:val="0"/>
              </w:rPr>
              <w:t>75.6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硕士生</w:t>
            </w:r>
          </w:p>
        </w:tc>
        <w:tc>
          <w:tcPr>
            <w:tcW w:w="531" w:type="dxa"/>
            <w:shd w:val="clear" w:color="auto" w:fill="auto"/>
            <w:vAlign w:val="center"/>
          </w:tcPr>
          <w:p>
            <w:pPr>
              <w:pStyle w:val="52"/>
              <w:jc w:val="center"/>
              <w:rPr>
                <w:kern w:val="0"/>
              </w:rPr>
            </w:pPr>
            <w:r>
              <w:rPr>
                <w:kern w:val="0"/>
              </w:rPr>
              <w:t>40</w:t>
            </w:r>
          </w:p>
        </w:tc>
        <w:tc>
          <w:tcPr>
            <w:tcW w:w="584" w:type="dxa"/>
            <w:shd w:val="clear" w:color="auto" w:fill="auto"/>
            <w:vAlign w:val="center"/>
          </w:tcPr>
          <w:p>
            <w:pPr>
              <w:pStyle w:val="52"/>
              <w:jc w:val="center"/>
              <w:rPr>
                <w:kern w:val="0"/>
              </w:rPr>
            </w:pPr>
            <w:r>
              <w:rPr>
                <w:kern w:val="0"/>
              </w:rPr>
              <w:t>13.4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1056" w:type="dxa"/>
            <w:tcBorders>
              <w:top w:val="single" w:color="00B050" w:sz="8" w:space="0"/>
            </w:tcBorders>
            <w:shd w:val="clear" w:color="auto" w:fill="auto"/>
            <w:vAlign w:val="center"/>
          </w:tcPr>
          <w:p>
            <w:pPr>
              <w:pStyle w:val="52"/>
              <w:rPr>
                <w:kern w:val="0"/>
              </w:rPr>
            </w:pPr>
            <w:r>
              <w:rPr>
                <w:rFonts w:hint="eastAsia"/>
                <w:kern w:val="0"/>
              </w:rPr>
              <w:t>博士生</w:t>
            </w:r>
          </w:p>
        </w:tc>
        <w:tc>
          <w:tcPr>
            <w:tcW w:w="531"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0.7</w:t>
            </w:r>
          </w:p>
        </w:tc>
      </w:tr>
    </w:tbl>
    <w:p>
      <w:pPr>
        <w:pStyle w:val="37"/>
        <w:ind w:firstLine="0" w:firstLineChars="0"/>
      </w:pPr>
      <w:bookmarkStart w:id="44" w:name="PO_3133"/>
      <w:bookmarkEnd w:id="44"/>
      <w:bookmarkStart w:id="45" w:name="PO_3132"/>
      <w:bookmarkEnd w:id="45"/>
    </w:p>
    <w:p>
      <w:pPr>
        <w:pStyle w:val="37"/>
        <w:ind w:firstLine="480"/>
      </w:pPr>
      <w:r>
        <w:rPr>
          <w:rFonts w:hint="eastAsia"/>
        </w:rPr>
        <w:t>从专业分布来看，如下表和下图所示，有效样本数量最多的3个专业分别是表演、制片管理和戏剧学，分别有72、27和25份，共占到有效样本总数的41.5%。有效样本数量最少的是戏剧影视美术设计，只有1份。</w:t>
      </w:r>
    </w:p>
    <w:p>
      <w:pPr>
        <w:pStyle w:val="53"/>
        <w:spacing w:before="312" w:after="156"/>
      </w:pPr>
      <w:r>
        <w:rPr>
          <w:rFonts w:hint="eastAsia"/>
        </w:rPr>
        <w:t>调查样本专业分布</w:t>
      </w:r>
    </w:p>
    <w:tbl>
      <w:tblPr>
        <w:tblStyle w:val="33"/>
        <w:tblW w:w="290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89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896" w:type="dxa"/>
            <w:shd w:val="clear" w:color="auto" w:fill="auto"/>
            <w:vAlign w:val="center"/>
          </w:tcPr>
          <w:p>
            <w:pPr>
              <w:pStyle w:val="52"/>
              <w:ind w:firstLine="480"/>
              <w:jc w:val="center"/>
              <w:rPr>
                <w:kern w:val="0"/>
              </w:rPr>
            </w:pPr>
            <w:r>
              <w:rPr>
                <w:rFonts w:hint="eastAsia"/>
                <w:kern w:val="0"/>
              </w:rPr>
              <w:t>专业</w:t>
            </w: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表演</w:t>
            </w:r>
          </w:p>
        </w:tc>
        <w:tc>
          <w:tcPr>
            <w:tcW w:w="426" w:type="dxa"/>
            <w:shd w:val="clear" w:color="auto" w:fill="auto"/>
            <w:vAlign w:val="center"/>
          </w:tcPr>
          <w:p>
            <w:pPr>
              <w:pStyle w:val="52"/>
              <w:jc w:val="center"/>
              <w:rPr>
                <w:kern w:val="0"/>
              </w:rPr>
            </w:pPr>
            <w:r>
              <w:rPr>
                <w:kern w:val="0"/>
              </w:rPr>
              <w:t>72</w:t>
            </w:r>
          </w:p>
        </w:tc>
        <w:tc>
          <w:tcPr>
            <w:tcW w:w="584" w:type="dxa"/>
            <w:shd w:val="clear" w:color="auto" w:fill="auto"/>
            <w:vAlign w:val="center"/>
          </w:tcPr>
          <w:p>
            <w:pPr>
              <w:pStyle w:val="52"/>
              <w:jc w:val="center"/>
              <w:rPr>
                <w:kern w:val="0"/>
              </w:rPr>
            </w:pPr>
            <w:r>
              <w:rPr>
                <w:kern w:val="0"/>
              </w:rPr>
              <w:t>24.1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播音与主持</w:t>
            </w:r>
          </w:p>
        </w:tc>
        <w:tc>
          <w:tcPr>
            <w:tcW w:w="426" w:type="dxa"/>
            <w:shd w:val="clear" w:color="auto" w:fill="auto"/>
            <w:vAlign w:val="center"/>
          </w:tcPr>
          <w:p>
            <w:pPr>
              <w:pStyle w:val="52"/>
              <w:jc w:val="center"/>
              <w:rPr>
                <w:kern w:val="0"/>
              </w:rPr>
            </w:pPr>
            <w:r>
              <w:rPr>
                <w:kern w:val="0"/>
              </w:rPr>
              <w:t>23</w:t>
            </w:r>
          </w:p>
        </w:tc>
        <w:tc>
          <w:tcPr>
            <w:tcW w:w="584" w:type="dxa"/>
            <w:shd w:val="clear" w:color="auto" w:fill="auto"/>
            <w:vAlign w:val="center"/>
          </w:tcPr>
          <w:p>
            <w:pPr>
              <w:pStyle w:val="52"/>
              <w:jc w:val="center"/>
              <w:rPr>
                <w:kern w:val="0"/>
              </w:rPr>
            </w:pPr>
            <w:r>
              <w:rPr>
                <w:kern w:val="0"/>
              </w:rPr>
              <w:t>7.7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导演</w:t>
            </w:r>
          </w:p>
        </w:tc>
        <w:tc>
          <w:tcPr>
            <w:tcW w:w="426" w:type="dxa"/>
            <w:shd w:val="clear" w:color="auto" w:fill="auto"/>
            <w:vAlign w:val="center"/>
          </w:tcPr>
          <w:p>
            <w:pPr>
              <w:pStyle w:val="52"/>
              <w:jc w:val="center"/>
              <w:rPr>
                <w:kern w:val="0"/>
              </w:rPr>
            </w:pPr>
            <w:r>
              <w:rPr>
                <w:kern w:val="0"/>
              </w:rPr>
              <w:t>13</w:t>
            </w:r>
          </w:p>
        </w:tc>
        <w:tc>
          <w:tcPr>
            <w:tcW w:w="584" w:type="dxa"/>
            <w:shd w:val="clear" w:color="auto" w:fill="auto"/>
            <w:vAlign w:val="center"/>
          </w:tcPr>
          <w:p>
            <w:pPr>
              <w:pStyle w:val="52"/>
              <w:jc w:val="center"/>
              <w:rPr>
                <w:kern w:val="0"/>
              </w:rPr>
            </w:pPr>
            <w:r>
              <w:rPr>
                <w:kern w:val="0"/>
              </w:rPr>
              <w:t>4.3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电视剧创作</w:t>
            </w:r>
          </w:p>
        </w:tc>
        <w:tc>
          <w:tcPr>
            <w:tcW w:w="426"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896" w:type="dxa"/>
            <w:shd w:val="clear" w:color="auto" w:fill="auto"/>
            <w:vAlign w:val="center"/>
          </w:tcPr>
          <w:p>
            <w:pPr>
              <w:pStyle w:val="52"/>
              <w:rPr>
                <w:kern w:val="0"/>
              </w:rPr>
            </w:pPr>
            <w:r>
              <w:rPr>
                <w:rFonts w:hint="eastAsia"/>
                <w:kern w:val="0"/>
              </w:rPr>
              <w:t>舞台灯光</w:t>
            </w:r>
          </w:p>
        </w:tc>
        <w:tc>
          <w:tcPr>
            <w:tcW w:w="426" w:type="dxa"/>
            <w:shd w:val="clear" w:color="auto" w:fill="auto"/>
            <w:vAlign w:val="center"/>
          </w:tcPr>
          <w:p>
            <w:pPr>
              <w:pStyle w:val="52"/>
              <w:jc w:val="center"/>
              <w:rPr>
                <w:kern w:val="0"/>
              </w:rPr>
            </w:pPr>
            <w:r>
              <w:rPr>
                <w:kern w:val="0"/>
              </w:rPr>
              <w:t>10</w:t>
            </w:r>
          </w:p>
        </w:tc>
        <w:tc>
          <w:tcPr>
            <w:tcW w:w="584" w:type="dxa"/>
            <w:shd w:val="clear" w:color="auto" w:fill="auto"/>
            <w:vAlign w:val="center"/>
          </w:tcPr>
          <w:p>
            <w:pPr>
              <w:pStyle w:val="52"/>
              <w:jc w:val="center"/>
              <w:rPr>
                <w:kern w:val="0"/>
              </w:rPr>
            </w:pPr>
            <w:r>
              <w:rPr>
                <w:kern w:val="0"/>
              </w:rPr>
              <w:t>3.3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舞台服装</w:t>
            </w:r>
          </w:p>
        </w:tc>
        <w:tc>
          <w:tcPr>
            <w:tcW w:w="426"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2.7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舞台化装</w:t>
            </w:r>
          </w:p>
        </w:tc>
        <w:tc>
          <w:tcPr>
            <w:tcW w:w="426"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1.7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舞台绘景</w:t>
            </w:r>
          </w:p>
        </w:tc>
        <w:tc>
          <w:tcPr>
            <w:tcW w:w="426" w:type="dxa"/>
            <w:shd w:val="clear" w:color="auto" w:fill="auto"/>
            <w:vAlign w:val="center"/>
          </w:tcPr>
          <w:p>
            <w:pPr>
              <w:pStyle w:val="52"/>
              <w:jc w:val="center"/>
              <w:rPr>
                <w:kern w:val="0"/>
              </w:rPr>
            </w:pPr>
            <w:r>
              <w:rPr>
                <w:kern w:val="0"/>
              </w:rPr>
              <w:t>12</w:t>
            </w:r>
          </w:p>
        </w:tc>
        <w:tc>
          <w:tcPr>
            <w:tcW w:w="584" w:type="dxa"/>
            <w:shd w:val="clear" w:color="auto" w:fill="auto"/>
            <w:vAlign w:val="center"/>
          </w:tcPr>
          <w:p>
            <w:pPr>
              <w:pStyle w:val="52"/>
              <w:jc w:val="center"/>
              <w:rPr>
                <w:kern w:val="0"/>
              </w:rPr>
            </w:pPr>
            <w:r>
              <w:rPr>
                <w:kern w:val="0"/>
              </w:rPr>
              <w:t>4.0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舞台设计</w:t>
            </w:r>
          </w:p>
        </w:tc>
        <w:tc>
          <w:tcPr>
            <w:tcW w:w="426"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3.0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戏剧</w:t>
            </w:r>
          </w:p>
        </w:tc>
        <w:tc>
          <w:tcPr>
            <w:tcW w:w="426" w:type="dxa"/>
            <w:shd w:val="clear" w:color="auto" w:fill="auto"/>
            <w:vAlign w:val="center"/>
          </w:tcPr>
          <w:p>
            <w:pPr>
              <w:pStyle w:val="52"/>
              <w:jc w:val="center"/>
              <w:rPr>
                <w:kern w:val="0"/>
              </w:rPr>
            </w:pPr>
            <w:r>
              <w:rPr>
                <w:kern w:val="0"/>
              </w:rPr>
              <w:t>16</w:t>
            </w:r>
          </w:p>
        </w:tc>
        <w:tc>
          <w:tcPr>
            <w:tcW w:w="584" w:type="dxa"/>
            <w:shd w:val="clear" w:color="auto" w:fill="auto"/>
            <w:vAlign w:val="center"/>
          </w:tcPr>
          <w:p>
            <w:pPr>
              <w:pStyle w:val="52"/>
              <w:jc w:val="center"/>
              <w:rPr>
                <w:kern w:val="0"/>
              </w:rPr>
            </w:pPr>
            <w:r>
              <w:rPr>
                <w:kern w:val="0"/>
              </w:rPr>
              <w:t>5.4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896" w:type="dxa"/>
            <w:shd w:val="clear" w:color="auto" w:fill="auto"/>
            <w:vAlign w:val="center"/>
          </w:tcPr>
          <w:p>
            <w:pPr>
              <w:pStyle w:val="52"/>
              <w:rPr>
                <w:kern w:val="0"/>
              </w:rPr>
            </w:pPr>
            <w:r>
              <w:rPr>
                <w:rFonts w:hint="eastAsia"/>
                <w:kern w:val="0"/>
              </w:rPr>
              <w:t>戏剧创作</w:t>
            </w:r>
          </w:p>
        </w:tc>
        <w:tc>
          <w:tcPr>
            <w:tcW w:w="426" w:type="dxa"/>
            <w:shd w:val="clear" w:color="auto" w:fill="auto"/>
            <w:vAlign w:val="center"/>
          </w:tcPr>
          <w:p>
            <w:pPr>
              <w:pStyle w:val="52"/>
              <w:jc w:val="center"/>
              <w:rPr>
                <w:kern w:val="0"/>
              </w:rPr>
            </w:pPr>
            <w:r>
              <w:rPr>
                <w:kern w:val="0"/>
              </w:rPr>
              <w:t>11</w:t>
            </w:r>
          </w:p>
        </w:tc>
        <w:tc>
          <w:tcPr>
            <w:tcW w:w="584" w:type="dxa"/>
            <w:shd w:val="clear" w:color="auto" w:fill="auto"/>
            <w:vAlign w:val="center"/>
          </w:tcPr>
          <w:p>
            <w:pPr>
              <w:pStyle w:val="52"/>
              <w:jc w:val="center"/>
              <w:rPr>
                <w:kern w:val="0"/>
              </w:rPr>
            </w:pPr>
            <w:r>
              <w:rPr>
                <w:kern w:val="0"/>
              </w:rPr>
              <w:t>3.7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戏剧学</w:t>
            </w:r>
          </w:p>
        </w:tc>
        <w:tc>
          <w:tcPr>
            <w:tcW w:w="426" w:type="dxa"/>
            <w:shd w:val="clear" w:color="auto" w:fill="auto"/>
            <w:vAlign w:val="center"/>
          </w:tcPr>
          <w:p>
            <w:pPr>
              <w:pStyle w:val="52"/>
              <w:jc w:val="center"/>
              <w:rPr>
                <w:kern w:val="0"/>
              </w:rPr>
            </w:pPr>
            <w:r>
              <w:rPr>
                <w:kern w:val="0"/>
              </w:rPr>
              <w:t>25</w:t>
            </w:r>
          </w:p>
        </w:tc>
        <w:tc>
          <w:tcPr>
            <w:tcW w:w="584" w:type="dxa"/>
            <w:shd w:val="clear" w:color="auto" w:fill="auto"/>
            <w:vAlign w:val="center"/>
          </w:tcPr>
          <w:p>
            <w:pPr>
              <w:pStyle w:val="52"/>
              <w:jc w:val="center"/>
              <w:rPr>
                <w:kern w:val="0"/>
              </w:rPr>
            </w:pPr>
            <w:r>
              <w:rPr>
                <w:kern w:val="0"/>
              </w:rPr>
              <w:t>8.4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戏剧影视美术设计</w:t>
            </w:r>
          </w:p>
        </w:tc>
        <w:tc>
          <w:tcPr>
            <w:tcW w:w="42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0.3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戏剧与影视学</w:t>
            </w:r>
          </w:p>
        </w:tc>
        <w:tc>
          <w:tcPr>
            <w:tcW w:w="426" w:type="dxa"/>
            <w:shd w:val="clear" w:color="auto" w:fill="auto"/>
            <w:vAlign w:val="center"/>
          </w:tcPr>
          <w:p>
            <w:pPr>
              <w:pStyle w:val="52"/>
              <w:jc w:val="center"/>
              <w:rPr>
                <w:kern w:val="0"/>
              </w:rPr>
            </w:pPr>
            <w:r>
              <w:rPr>
                <w:kern w:val="0"/>
              </w:rPr>
              <w:t>21</w:t>
            </w:r>
          </w:p>
        </w:tc>
        <w:tc>
          <w:tcPr>
            <w:tcW w:w="584" w:type="dxa"/>
            <w:shd w:val="clear" w:color="auto" w:fill="auto"/>
            <w:vAlign w:val="center"/>
          </w:tcPr>
          <w:p>
            <w:pPr>
              <w:pStyle w:val="52"/>
              <w:jc w:val="center"/>
              <w:rPr>
                <w:kern w:val="0"/>
              </w:rPr>
            </w:pPr>
            <w:r>
              <w:rPr>
                <w:kern w:val="0"/>
              </w:rPr>
              <w:t>7.0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演出制作</w:t>
            </w:r>
          </w:p>
        </w:tc>
        <w:tc>
          <w:tcPr>
            <w:tcW w:w="426" w:type="dxa"/>
            <w:shd w:val="clear" w:color="auto" w:fill="auto"/>
            <w:vAlign w:val="center"/>
          </w:tcPr>
          <w:p>
            <w:pPr>
              <w:pStyle w:val="52"/>
              <w:jc w:val="center"/>
              <w:rPr>
                <w:kern w:val="0"/>
              </w:rPr>
            </w:pPr>
            <w:r>
              <w:rPr>
                <w:kern w:val="0"/>
              </w:rPr>
              <w:t>25</w:t>
            </w:r>
          </w:p>
        </w:tc>
        <w:tc>
          <w:tcPr>
            <w:tcW w:w="584" w:type="dxa"/>
            <w:shd w:val="clear" w:color="auto" w:fill="auto"/>
            <w:vAlign w:val="center"/>
          </w:tcPr>
          <w:p>
            <w:pPr>
              <w:pStyle w:val="52"/>
              <w:jc w:val="center"/>
              <w:rPr>
                <w:kern w:val="0"/>
              </w:rPr>
            </w:pPr>
            <w:r>
              <w:rPr>
                <w:kern w:val="0"/>
              </w:rPr>
              <w:t>8.4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艺术学理论</w:t>
            </w:r>
          </w:p>
        </w:tc>
        <w:tc>
          <w:tcPr>
            <w:tcW w:w="426"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1.7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896" w:type="dxa"/>
            <w:shd w:val="clear" w:color="auto" w:fill="auto"/>
            <w:vAlign w:val="center"/>
          </w:tcPr>
          <w:p>
            <w:pPr>
              <w:pStyle w:val="52"/>
              <w:rPr>
                <w:kern w:val="0"/>
              </w:rPr>
            </w:pPr>
            <w:r>
              <w:rPr>
                <w:rFonts w:hint="eastAsia"/>
                <w:kern w:val="0"/>
              </w:rPr>
              <w:t>影视编导</w:t>
            </w:r>
          </w:p>
        </w:tc>
        <w:tc>
          <w:tcPr>
            <w:tcW w:w="426" w:type="dxa"/>
            <w:shd w:val="clear" w:color="auto" w:fill="auto"/>
            <w:vAlign w:val="center"/>
          </w:tcPr>
          <w:p>
            <w:pPr>
              <w:pStyle w:val="52"/>
              <w:jc w:val="center"/>
              <w:rPr>
                <w:kern w:val="0"/>
              </w:rPr>
            </w:pPr>
            <w:r>
              <w:rPr>
                <w:kern w:val="0"/>
              </w:rPr>
              <w:t>13</w:t>
            </w:r>
          </w:p>
        </w:tc>
        <w:tc>
          <w:tcPr>
            <w:tcW w:w="584" w:type="dxa"/>
            <w:shd w:val="clear" w:color="auto" w:fill="auto"/>
            <w:vAlign w:val="center"/>
          </w:tcPr>
          <w:p>
            <w:pPr>
              <w:pStyle w:val="52"/>
              <w:jc w:val="center"/>
              <w:rPr>
                <w:kern w:val="0"/>
              </w:rPr>
            </w:pPr>
            <w:r>
              <w:rPr>
                <w:kern w:val="0"/>
              </w:rPr>
              <w:t>4.3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vAlign w:val="center"/>
          </w:tcPr>
          <w:p>
            <w:pPr>
              <w:pStyle w:val="52"/>
              <w:rPr>
                <w:kern w:val="0"/>
              </w:rPr>
            </w:pPr>
            <w:r>
              <w:rPr>
                <w:rFonts w:hint="eastAsia"/>
                <w:kern w:val="0"/>
              </w:rPr>
              <w:t>制片管理</w:t>
            </w:r>
          </w:p>
        </w:tc>
        <w:tc>
          <w:tcPr>
            <w:tcW w:w="426" w:type="dxa"/>
            <w:shd w:val="clear" w:color="auto" w:fill="auto"/>
            <w:vAlign w:val="center"/>
          </w:tcPr>
          <w:p>
            <w:pPr>
              <w:pStyle w:val="52"/>
              <w:jc w:val="center"/>
              <w:rPr>
                <w:kern w:val="0"/>
              </w:rPr>
            </w:pPr>
            <w:r>
              <w:rPr>
                <w:kern w:val="0"/>
              </w:rPr>
              <w:t>27</w:t>
            </w:r>
          </w:p>
        </w:tc>
        <w:tc>
          <w:tcPr>
            <w:tcW w:w="584" w:type="dxa"/>
            <w:shd w:val="clear" w:color="auto" w:fill="auto"/>
            <w:vAlign w:val="center"/>
          </w:tcPr>
          <w:p>
            <w:pPr>
              <w:pStyle w:val="52"/>
              <w:jc w:val="center"/>
              <w:rPr>
                <w:kern w:val="0"/>
              </w:rPr>
            </w:pPr>
            <w:r>
              <w:rPr>
                <w:kern w:val="0"/>
              </w:rPr>
              <w:t>9.0</w:t>
            </w:r>
          </w:p>
        </w:tc>
      </w:tr>
    </w:tbl>
    <w:p>
      <w:pPr>
        <w:pStyle w:val="52"/>
      </w:pPr>
    </w:p>
    <w:p>
      <w:pPr>
        <w:pStyle w:val="43"/>
        <w:spacing w:before="312" w:after="156"/>
      </w:pPr>
      <w:bookmarkStart w:id="46" w:name="_Toc470167345"/>
      <w:r>
        <w:rPr>
          <w:rFonts w:hint="eastAsia"/>
        </w:rPr>
        <w:t>二、自主创业</w:t>
      </w:r>
      <w:bookmarkEnd w:id="46"/>
    </w:p>
    <w:p>
      <w:pPr>
        <w:pStyle w:val="37"/>
        <w:ind w:firstLine="480"/>
      </w:pPr>
      <w:bookmarkStart w:id="47" w:name="PO_3200"/>
      <w:bookmarkEnd w:id="47"/>
      <w:r>
        <w:rPr>
          <w:rFonts w:hint="eastAsia"/>
        </w:rPr>
        <w:t>调查结果显示，共有16名受访毕业生报告毕业去向为“自主创业”，占总受访毕业生人数的5.4%。</w:t>
      </w:r>
    </w:p>
    <w:p>
      <w:pPr>
        <w:pStyle w:val="37"/>
        <w:ind w:firstLine="480"/>
      </w:pPr>
    </w:p>
    <w:p>
      <w:pPr>
        <w:pStyle w:val="44"/>
        <w:spacing w:before="156"/>
      </w:pPr>
      <w:bookmarkStart w:id="48" w:name="_Toc470167346"/>
      <w:r>
        <w:rPr>
          <w:rFonts w:hint="eastAsia"/>
        </w:rPr>
        <w:t>（一）自主创业的原因</w:t>
      </w:r>
      <w:bookmarkEnd w:id="48"/>
    </w:p>
    <w:p>
      <w:pPr>
        <w:pStyle w:val="37"/>
        <w:ind w:firstLine="480"/>
      </w:pPr>
      <w:bookmarkStart w:id="49" w:name="PO_321"/>
      <w:bookmarkEnd w:id="49"/>
      <w:r>
        <w:rPr>
          <w:rFonts w:hint="eastAsia"/>
        </w:rPr>
        <w:t>总体而言，毕业生自主创业最主要的原因是有好的创业点子想实践（31.3%），其次是个人理想（25.0%），再次为受他人邀请合伙创业（18.8%）。</w:t>
      </w:r>
    </w:p>
    <w:p>
      <w:pPr>
        <w:jc w:val="center"/>
      </w:pPr>
      <w:r>
        <w:rPr>
          <w:rFonts w:hint="eastAsia"/>
        </w:rPr>
        <w:drawing>
          <wp:inline distT="0" distB="0" distL="0" distR="0">
            <wp:extent cx="6076950" cy="3077210"/>
            <wp:effectExtent l="19050" t="0" r="19050" b="889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59"/>
        <w:spacing w:before="156" w:after="312"/>
      </w:pPr>
      <w:r>
        <w:rPr>
          <w:rFonts w:hint="eastAsia"/>
        </w:rPr>
        <w:t>自主创业的原因</w:t>
      </w:r>
    </w:p>
    <w:p>
      <w:pPr>
        <w:pStyle w:val="53"/>
        <w:spacing w:before="312" w:after="156"/>
      </w:pPr>
      <w:r>
        <w:rPr>
          <w:rFonts w:hint="eastAsia"/>
        </w:rPr>
        <w:t>自主创业的原因</w:t>
      </w:r>
    </w:p>
    <w:tbl>
      <w:tblPr>
        <w:tblStyle w:val="33"/>
        <w:tblW w:w="347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52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52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有好的创业点子想实践</w:t>
            </w:r>
          </w:p>
        </w:tc>
        <w:tc>
          <w:tcPr>
            <w:tcW w:w="368"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31.3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个人理想</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受他人邀请合伙创业</w:t>
            </w:r>
          </w:p>
        </w:tc>
        <w:tc>
          <w:tcPr>
            <w:tcW w:w="368"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受到政策号召或环境影响</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526" w:type="dxa"/>
            <w:shd w:val="clear" w:color="auto" w:fill="auto"/>
            <w:vAlign w:val="center"/>
          </w:tcPr>
          <w:p>
            <w:pPr>
              <w:pStyle w:val="52"/>
              <w:rPr>
                <w:kern w:val="0"/>
              </w:rPr>
            </w:pPr>
            <w:r>
              <w:rPr>
                <w:rFonts w:hint="eastAsia"/>
                <w:kern w:val="0"/>
              </w:rPr>
              <w:t>期待有较高收入</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未找到合适的工作</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bl>
    <w:p>
      <w:pPr>
        <w:pStyle w:val="37"/>
        <w:ind w:firstLine="480"/>
      </w:pPr>
    </w:p>
    <w:p>
      <w:pPr>
        <w:pStyle w:val="44"/>
        <w:spacing w:before="156"/>
      </w:pPr>
      <w:bookmarkStart w:id="50" w:name="_Toc470167347"/>
      <w:r>
        <w:rPr>
          <w:rFonts w:hint="eastAsia"/>
        </w:rPr>
        <w:t>（二）自主创业的地区</w:t>
      </w:r>
      <w:bookmarkEnd w:id="50"/>
    </w:p>
    <w:p>
      <w:pPr>
        <w:pStyle w:val="37"/>
        <w:ind w:firstLine="480"/>
      </w:pPr>
      <w:bookmarkStart w:id="51" w:name="PO_3222"/>
      <w:bookmarkEnd w:id="51"/>
      <w:r>
        <w:rPr>
          <w:rFonts w:hint="eastAsia"/>
        </w:rPr>
        <w:t>从创业地区来看，93.8%的毕业生选择在北京创业，6.2%选择在京外创业。其中，京外创业的毕业生最主要选择在东部创业（6.3%）。</w:t>
      </w:r>
    </w:p>
    <w:p>
      <w:pPr>
        <w:jc w:val="center"/>
      </w:pPr>
      <w:r>
        <w:rPr>
          <w:rFonts w:hint="eastAsia"/>
        </w:rPr>
        <w:drawing>
          <wp:inline distT="0" distB="0" distL="0" distR="0">
            <wp:extent cx="6076950" cy="3077210"/>
            <wp:effectExtent l="19050" t="0" r="19050" b="889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59"/>
        <w:spacing w:before="156" w:after="312"/>
      </w:pPr>
      <w:r>
        <w:rPr>
          <w:rFonts w:hint="eastAsia"/>
        </w:rPr>
        <w:t>自主创业地区</w:t>
      </w:r>
    </w:p>
    <w:p>
      <w:pPr>
        <w:pStyle w:val="53"/>
        <w:spacing w:before="312" w:after="156"/>
      </w:pPr>
      <w:r>
        <w:rPr>
          <w:rFonts w:hint="eastAsia"/>
        </w:rPr>
        <w:t>自主创业地区</w:t>
      </w:r>
    </w:p>
    <w:tbl>
      <w:tblPr>
        <w:tblStyle w:val="33"/>
        <w:tblW w:w="206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北京创业</w:t>
            </w:r>
          </w:p>
        </w:tc>
        <w:tc>
          <w:tcPr>
            <w:tcW w:w="426" w:type="dxa"/>
            <w:shd w:val="clear" w:color="auto" w:fill="auto"/>
            <w:vAlign w:val="center"/>
          </w:tcPr>
          <w:p>
            <w:pPr>
              <w:pStyle w:val="52"/>
              <w:jc w:val="center"/>
              <w:rPr>
                <w:kern w:val="0"/>
              </w:rPr>
            </w:pPr>
            <w:r>
              <w:rPr>
                <w:kern w:val="0"/>
              </w:rPr>
              <w:t>15</w:t>
            </w:r>
          </w:p>
        </w:tc>
        <w:tc>
          <w:tcPr>
            <w:tcW w:w="584" w:type="dxa"/>
            <w:shd w:val="clear" w:color="auto" w:fill="auto"/>
            <w:vAlign w:val="center"/>
          </w:tcPr>
          <w:p>
            <w:pPr>
              <w:pStyle w:val="52"/>
              <w:jc w:val="center"/>
              <w:rPr>
                <w:kern w:val="0"/>
              </w:rPr>
            </w:pPr>
            <w:r>
              <w:rPr>
                <w:kern w:val="0"/>
              </w:rPr>
              <w:t>93.8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东部创业</w:t>
            </w:r>
          </w:p>
        </w:tc>
        <w:tc>
          <w:tcPr>
            <w:tcW w:w="42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bl>
    <w:p>
      <w:pPr>
        <w:pStyle w:val="37"/>
        <w:ind w:firstLine="480"/>
      </w:pPr>
    </w:p>
    <w:p>
      <w:pPr>
        <w:pStyle w:val="37"/>
        <w:ind w:firstLine="0" w:firstLineChars="0"/>
        <w:rPr>
          <w:sz w:val="20"/>
        </w:rPr>
      </w:pPr>
      <w:r>
        <w:rPr>
          <w:rFonts w:hint="eastAsia"/>
          <w:sz w:val="20"/>
        </w:rPr>
        <w:t>注：东部地区：天津、上海、辽宁、河北、山东、浙江、江苏、广东、福建和海南10省市以及港澳台地区；</w:t>
      </w:r>
    </w:p>
    <w:p>
      <w:pPr>
        <w:pStyle w:val="37"/>
        <w:ind w:firstLine="420" w:firstLineChars="0"/>
        <w:rPr>
          <w:sz w:val="20"/>
        </w:rPr>
      </w:pPr>
      <w:r>
        <w:rPr>
          <w:rFonts w:hint="eastAsia"/>
          <w:sz w:val="20"/>
        </w:rPr>
        <w:t>中部地区：吉林、黑龙江、山西、湖南、湖北、河南、江西和安徽8省；</w:t>
      </w:r>
    </w:p>
    <w:p>
      <w:pPr>
        <w:pStyle w:val="37"/>
        <w:ind w:firstLine="420" w:firstLineChars="0"/>
        <w:rPr>
          <w:sz w:val="20"/>
        </w:rPr>
      </w:pPr>
      <w:r>
        <w:rPr>
          <w:rFonts w:hint="eastAsia"/>
          <w:sz w:val="20"/>
        </w:rPr>
        <w:t>西部地区：重庆、四川、陕西、宁夏、甘肃、内蒙、青海、新疆、西藏、贵州、云南和广西12省市。</w:t>
      </w:r>
    </w:p>
    <w:p>
      <w:pPr>
        <w:pStyle w:val="37"/>
        <w:ind w:firstLine="480"/>
      </w:pPr>
      <w:bookmarkStart w:id="52" w:name="PO_3221"/>
      <w:bookmarkEnd w:id="52"/>
      <w:r>
        <w:rPr>
          <w:rFonts w:hint="eastAsia"/>
        </w:rPr>
        <w:t>同时，根据全国经济区的划分，93.8%的毕业生选择在北京创业，其他毕业生最主要选择在东北经济区（6.3%）</w:t>
      </w:r>
    </w:p>
    <w:p>
      <w:pPr>
        <w:jc w:val="center"/>
      </w:pPr>
      <w:r>
        <w:rPr>
          <w:rFonts w:hint="eastAsia"/>
        </w:rPr>
        <w:drawing>
          <wp:inline distT="0" distB="0" distL="0" distR="0">
            <wp:extent cx="6076950" cy="3077210"/>
            <wp:effectExtent l="19050" t="0" r="19050" b="889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59"/>
        <w:spacing w:before="156" w:after="312"/>
      </w:pPr>
      <w:r>
        <w:rPr>
          <w:rFonts w:hint="eastAsia"/>
        </w:rPr>
        <w:t>自主创业地区</w:t>
      </w:r>
    </w:p>
    <w:p>
      <w:pPr>
        <w:pStyle w:val="53"/>
        <w:spacing w:before="312" w:after="156"/>
      </w:pPr>
      <w:r>
        <w:rPr>
          <w:rFonts w:hint="eastAsia"/>
        </w:rPr>
        <w:t>自主创业地区</w:t>
      </w:r>
    </w:p>
    <w:tbl>
      <w:tblPr>
        <w:tblStyle w:val="33"/>
        <w:tblW w:w="227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26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26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北京地区</w:t>
            </w:r>
          </w:p>
        </w:tc>
        <w:tc>
          <w:tcPr>
            <w:tcW w:w="426" w:type="dxa"/>
            <w:shd w:val="clear" w:color="auto" w:fill="auto"/>
            <w:vAlign w:val="center"/>
          </w:tcPr>
          <w:p>
            <w:pPr>
              <w:pStyle w:val="52"/>
              <w:jc w:val="center"/>
              <w:rPr>
                <w:kern w:val="0"/>
              </w:rPr>
            </w:pPr>
            <w:r>
              <w:rPr>
                <w:kern w:val="0"/>
              </w:rPr>
              <w:t>15</w:t>
            </w:r>
          </w:p>
        </w:tc>
        <w:tc>
          <w:tcPr>
            <w:tcW w:w="584" w:type="dxa"/>
            <w:shd w:val="clear" w:color="auto" w:fill="auto"/>
            <w:vAlign w:val="center"/>
          </w:tcPr>
          <w:p>
            <w:pPr>
              <w:pStyle w:val="52"/>
              <w:jc w:val="center"/>
              <w:rPr>
                <w:kern w:val="0"/>
              </w:rPr>
            </w:pPr>
            <w:r>
              <w:rPr>
                <w:kern w:val="0"/>
              </w:rPr>
              <w:t>93.8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东北经济区</w:t>
            </w:r>
          </w:p>
        </w:tc>
        <w:tc>
          <w:tcPr>
            <w:tcW w:w="42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bl>
    <w:p>
      <w:pPr>
        <w:pStyle w:val="37"/>
        <w:ind w:firstLine="480"/>
      </w:pPr>
    </w:p>
    <w:p>
      <w:pPr>
        <w:pStyle w:val="37"/>
        <w:ind w:firstLine="0" w:firstLineChars="0"/>
        <w:rPr>
          <w:rFonts w:cs="Times New Roman" w:asciiTheme="minorEastAsia" w:hAnsiTheme="minorEastAsia" w:eastAsiaTheme="minorEastAsia"/>
          <w:color w:val="000000" w:themeColor="text1"/>
          <w:sz w:val="20"/>
          <w:szCs w:val="20"/>
        </w:rPr>
      </w:pPr>
      <w:r>
        <w:rPr>
          <w:rFonts w:hint="eastAsia"/>
          <w:sz w:val="20"/>
          <w:szCs w:val="20"/>
        </w:rPr>
        <w:t>注：</w:t>
      </w:r>
      <w:r>
        <w:rPr>
          <w:rFonts w:hint="eastAsia" w:cs="Times New Roman" w:asciiTheme="minorEastAsia" w:hAnsiTheme="minorEastAsia" w:eastAsiaTheme="minorEastAsia"/>
          <w:color w:val="000000" w:themeColor="text1"/>
          <w:sz w:val="20"/>
          <w:szCs w:val="20"/>
        </w:rPr>
        <w:t>根据</w:t>
      </w:r>
      <w:r>
        <w:rPr>
          <w:rFonts w:cs="Times New Roman" w:asciiTheme="minorEastAsia" w:hAnsiTheme="minorEastAsia" w:eastAsiaTheme="minorEastAsia"/>
          <w:color w:val="000000" w:themeColor="text1"/>
          <w:sz w:val="20"/>
          <w:szCs w:val="20"/>
        </w:rPr>
        <w:t>国务院发展研究中心</w:t>
      </w:r>
      <w:r>
        <w:rPr>
          <w:rFonts w:hint="eastAsia" w:cs="Times New Roman" w:asciiTheme="minorEastAsia" w:hAnsiTheme="minorEastAsia" w:eastAsiaTheme="minorEastAsia"/>
          <w:color w:val="000000" w:themeColor="text1"/>
          <w:sz w:val="20"/>
          <w:szCs w:val="20"/>
        </w:rPr>
        <w:t>在“十一五”期间</w:t>
      </w:r>
      <w:r>
        <w:rPr>
          <w:rFonts w:cs="Times New Roman" w:asciiTheme="minorEastAsia" w:hAnsiTheme="minorEastAsia" w:eastAsiaTheme="minorEastAsia"/>
          <w:color w:val="000000" w:themeColor="text1"/>
          <w:sz w:val="20"/>
          <w:szCs w:val="20"/>
        </w:rPr>
        <w:t>对全国经济区</w:t>
      </w:r>
      <w:r>
        <w:rPr>
          <w:rFonts w:hint="eastAsia" w:cs="Times New Roman" w:asciiTheme="minorEastAsia" w:hAnsiTheme="minorEastAsia" w:eastAsiaTheme="minorEastAsia"/>
          <w:color w:val="000000" w:themeColor="text1"/>
          <w:sz w:val="20"/>
          <w:szCs w:val="20"/>
        </w:rPr>
        <w:t>的</w:t>
      </w:r>
      <w:r>
        <w:rPr>
          <w:rFonts w:cs="Times New Roman" w:asciiTheme="minorEastAsia" w:hAnsiTheme="minorEastAsia" w:eastAsiaTheme="minorEastAsia"/>
          <w:color w:val="000000" w:themeColor="text1"/>
          <w:sz w:val="20"/>
          <w:szCs w:val="20"/>
        </w:rPr>
        <w:t>划分</w:t>
      </w:r>
      <w:r>
        <w:rPr>
          <w:rFonts w:hint="eastAsia" w:cs="Times New Roman" w:asciiTheme="minorEastAsia" w:hAnsiTheme="minorEastAsia" w:eastAsiaTheme="minorEastAsia"/>
          <w:color w:val="000000" w:themeColor="text1"/>
          <w:sz w:val="20"/>
          <w:szCs w:val="20"/>
        </w:rPr>
        <w:t>，将</w:t>
      </w:r>
      <w:r>
        <w:rPr>
          <w:rFonts w:cs="Times New Roman" w:asciiTheme="minorEastAsia" w:hAnsiTheme="minorEastAsia" w:eastAsiaTheme="minorEastAsia"/>
          <w:color w:val="000000" w:themeColor="text1"/>
          <w:sz w:val="20"/>
          <w:szCs w:val="20"/>
        </w:rPr>
        <w:t>全国划分为</w:t>
      </w:r>
      <w:r>
        <w:rPr>
          <w:rFonts w:hint="eastAsia" w:cs="Times New Roman" w:asciiTheme="minorEastAsia" w:hAnsiTheme="minorEastAsia" w:eastAsiaTheme="minorEastAsia"/>
          <w:color w:val="000000" w:themeColor="text1"/>
          <w:sz w:val="20"/>
          <w:szCs w:val="20"/>
        </w:rPr>
        <w:t>：</w:t>
      </w:r>
    </w:p>
    <w:p>
      <w:pPr>
        <w:pStyle w:val="37"/>
        <w:ind w:firstLine="400" w:firstLineChars="0"/>
        <w:rPr>
          <w:sz w:val="20"/>
          <w:szCs w:val="20"/>
        </w:rPr>
      </w:pPr>
      <w:r>
        <w:rPr>
          <w:rFonts w:hint="eastAsia"/>
          <w:sz w:val="20"/>
          <w:szCs w:val="20"/>
        </w:rPr>
        <w:t>东北经济区：辽宁、吉林和黑龙江3省；北部沿海经济区：北京、天津、河北和山东4省市；</w:t>
      </w:r>
    </w:p>
    <w:p>
      <w:pPr>
        <w:pStyle w:val="37"/>
        <w:ind w:firstLine="400"/>
        <w:rPr>
          <w:sz w:val="20"/>
          <w:szCs w:val="20"/>
        </w:rPr>
      </w:pPr>
      <w:r>
        <w:rPr>
          <w:rFonts w:hint="eastAsia"/>
          <w:sz w:val="20"/>
          <w:szCs w:val="20"/>
        </w:rPr>
        <w:t>东部</w:t>
      </w:r>
      <w:r>
        <w:rPr>
          <w:sz w:val="20"/>
          <w:szCs w:val="20"/>
        </w:rPr>
        <w:t>沿海经济区</w:t>
      </w:r>
      <w:r>
        <w:rPr>
          <w:rFonts w:hint="eastAsia"/>
          <w:sz w:val="20"/>
          <w:szCs w:val="20"/>
        </w:rPr>
        <w:t>：上海</w:t>
      </w:r>
      <w:r>
        <w:rPr>
          <w:sz w:val="20"/>
          <w:szCs w:val="20"/>
        </w:rPr>
        <w:t>、江苏</w:t>
      </w:r>
      <w:r>
        <w:rPr>
          <w:rFonts w:hint="eastAsia"/>
          <w:sz w:val="20"/>
          <w:szCs w:val="20"/>
        </w:rPr>
        <w:t>和</w:t>
      </w:r>
      <w:r>
        <w:rPr>
          <w:sz w:val="20"/>
          <w:szCs w:val="20"/>
        </w:rPr>
        <w:t>浙江</w:t>
      </w:r>
      <w:r>
        <w:rPr>
          <w:rFonts w:hint="eastAsia"/>
          <w:sz w:val="20"/>
          <w:szCs w:val="20"/>
        </w:rPr>
        <w:t>3省市；</w:t>
      </w:r>
      <w:r>
        <w:rPr>
          <w:sz w:val="20"/>
          <w:szCs w:val="20"/>
        </w:rPr>
        <w:t>南部沿海经济区</w:t>
      </w:r>
      <w:r>
        <w:rPr>
          <w:rFonts w:hint="eastAsia"/>
          <w:sz w:val="20"/>
          <w:szCs w:val="20"/>
        </w:rPr>
        <w:t>：福建</w:t>
      </w:r>
      <w:r>
        <w:rPr>
          <w:sz w:val="20"/>
          <w:szCs w:val="20"/>
        </w:rPr>
        <w:t>、广东</w:t>
      </w:r>
      <w:r>
        <w:rPr>
          <w:rFonts w:hint="eastAsia"/>
          <w:sz w:val="20"/>
          <w:szCs w:val="20"/>
        </w:rPr>
        <w:t>和</w:t>
      </w:r>
      <w:r>
        <w:rPr>
          <w:sz w:val="20"/>
          <w:szCs w:val="20"/>
        </w:rPr>
        <w:t>海南</w:t>
      </w:r>
      <w:r>
        <w:rPr>
          <w:rFonts w:hint="eastAsia"/>
          <w:sz w:val="20"/>
          <w:szCs w:val="20"/>
        </w:rPr>
        <w:t>3省</w:t>
      </w:r>
      <w:r>
        <w:rPr>
          <w:rFonts w:hint="eastAsia"/>
          <w:sz w:val="20"/>
        </w:rPr>
        <w:t>以及港澳台地区</w:t>
      </w:r>
      <w:r>
        <w:rPr>
          <w:rFonts w:hint="eastAsia"/>
          <w:sz w:val="20"/>
          <w:szCs w:val="20"/>
        </w:rPr>
        <w:t>；</w:t>
      </w:r>
    </w:p>
    <w:p>
      <w:pPr>
        <w:pStyle w:val="37"/>
        <w:ind w:firstLine="400"/>
        <w:rPr>
          <w:sz w:val="20"/>
          <w:szCs w:val="20"/>
        </w:rPr>
      </w:pPr>
      <w:r>
        <w:rPr>
          <w:rFonts w:hint="eastAsia"/>
          <w:sz w:val="20"/>
          <w:szCs w:val="20"/>
        </w:rPr>
        <w:t>黄河</w:t>
      </w:r>
      <w:r>
        <w:rPr>
          <w:sz w:val="20"/>
          <w:szCs w:val="20"/>
        </w:rPr>
        <w:t>中游经济区</w:t>
      </w:r>
      <w:r>
        <w:rPr>
          <w:rFonts w:hint="eastAsia"/>
          <w:sz w:val="20"/>
          <w:szCs w:val="20"/>
        </w:rPr>
        <w:t>：陕西</w:t>
      </w:r>
      <w:r>
        <w:rPr>
          <w:sz w:val="20"/>
          <w:szCs w:val="20"/>
        </w:rPr>
        <w:t>、</w:t>
      </w:r>
      <w:r>
        <w:rPr>
          <w:rFonts w:hint="eastAsia"/>
          <w:sz w:val="20"/>
          <w:szCs w:val="20"/>
        </w:rPr>
        <w:t>山西</w:t>
      </w:r>
      <w:r>
        <w:rPr>
          <w:sz w:val="20"/>
          <w:szCs w:val="20"/>
        </w:rPr>
        <w:t>、</w:t>
      </w:r>
      <w:r>
        <w:rPr>
          <w:rFonts w:hint="eastAsia"/>
          <w:sz w:val="20"/>
          <w:szCs w:val="20"/>
        </w:rPr>
        <w:t>河南和</w:t>
      </w:r>
      <w:r>
        <w:rPr>
          <w:sz w:val="20"/>
          <w:szCs w:val="20"/>
        </w:rPr>
        <w:t>内蒙古</w:t>
      </w:r>
      <w:r>
        <w:rPr>
          <w:rFonts w:hint="eastAsia"/>
          <w:sz w:val="20"/>
          <w:szCs w:val="20"/>
        </w:rPr>
        <w:t>4省；</w:t>
      </w:r>
      <w:r>
        <w:rPr>
          <w:sz w:val="20"/>
          <w:szCs w:val="20"/>
        </w:rPr>
        <w:t>长江中游经济区</w:t>
      </w:r>
      <w:r>
        <w:rPr>
          <w:rFonts w:hint="eastAsia"/>
          <w:sz w:val="20"/>
          <w:szCs w:val="20"/>
        </w:rPr>
        <w:t>：湖北</w:t>
      </w:r>
      <w:r>
        <w:rPr>
          <w:sz w:val="20"/>
          <w:szCs w:val="20"/>
        </w:rPr>
        <w:t>、湖南、江西</w:t>
      </w:r>
      <w:r>
        <w:rPr>
          <w:rFonts w:hint="eastAsia"/>
          <w:sz w:val="20"/>
          <w:szCs w:val="20"/>
        </w:rPr>
        <w:t>和</w:t>
      </w:r>
      <w:r>
        <w:rPr>
          <w:sz w:val="20"/>
          <w:szCs w:val="20"/>
        </w:rPr>
        <w:t>安徽</w:t>
      </w:r>
      <w:r>
        <w:rPr>
          <w:rFonts w:hint="eastAsia"/>
          <w:sz w:val="20"/>
          <w:szCs w:val="20"/>
        </w:rPr>
        <w:t>4省；</w:t>
      </w:r>
    </w:p>
    <w:p>
      <w:pPr>
        <w:pStyle w:val="37"/>
        <w:ind w:firstLine="400"/>
        <w:rPr>
          <w:sz w:val="20"/>
          <w:szCs w:val="20"/>
        </w:rPr>
      </w:pPr>
      <w:bookmarkStart w:id="53" w:name="_Toc460418849"/>
      <w:r>
        <w:rPr>
          <w:sz w:val="20"/>
          <w:szCs w:val="20"/>
        </w:rPr>
        <w:t>西南经济区</w:t>
      </w:r>
      <w:r>
        <w:rPr>
          <w:rFonts w:hint="eastAsia"/>
          <w:sz w:val="20"/>
          <w:szCs w:val="20"/>
        </w:rPr>
        <w:t>：云南</w:t>
      </w:r>
      <w:r>
        <w:rPr>
          <w:sz w:val="20"/>
          <w:szCs w:val="20"/>
        </w:rPr>
        <w:t>、贵州、四川、重庆</w:t>
      </w:r>
      <w:r>
        <w:rPr>
          <w:rFonts w:hint="eastAsia"/>
          <w:sz w:val="20"/>
          <w:szCs w:val="20"/>
        </w:rPr>
        <w:t>和</w:t>
      </w:r>
      <w:r>
        <w:rPr>
          <w:sz w:val="20"/>
          <w:szCs w:val="20"/>
        </w:rPr>
        <w:t>广西</w:t>
      </w:r>
      <w:r>
        <w:rPr>
          <w:rFonts w:hint="eastAsia"/>
          <w:sz w:val="20"/>
          <w:szCs w:val="20"/>
        </w:rPr>
        <w:t>4省市；</w:t>
      </w:r>
      <w:r>
        <w:rPr>
          <w:sz w:val="20"/>
          <w:szCs w:val="20"/>
        </w:rPr>
        <w:t>西北经济区</w:t>
      </w:r>
      <w:r>
        <w:rPr>
          <w:rFonts w:hint="eastAsia"/>
          <w:sz w:val="20"/>
          <w:szCs w:val="20"/>
        </w:rPr>
        <w:t>：甘肃</w:t>
      </w:r>
      <w:r>
        <w:rPr>
          <w:sz w:val="20"/>
          <w:szCs w:val="20"/>
        </w:rPr>
        <w:t>、青海、宁夏、西藏</w:t>
      </w:r>
      <w:r>
        <w:rPr>
          <w:rFonts w:hint="eastAsia"/>
          <w:sz w:val="20"/>
          <w:szCs w:val="20"/>
        </w:rPr>
        <w:t>和</w:t>
      </w:r>
      <w:r>
        <w:rPr>
          <w:sz w:val="20"/>
          <w:szCs w:val="20"/>
        </w:rPr>
        <w:t>新疆</w:t>
      </w:r>
      <w:r>
        <w:rPr>
          <w:rFonts w:hint="eastAsia"/>
          <w:sz w:val="20"/>
          <w:szCs w:val="20"/>
        </w:rPr>
        <w:t>4省。</w:t>
      </w:r>
      <w:bookmarkEnd w:id="53"/>
    </w:p>
    <w:p>
      <w:pPr>
        <w:pStyle w:val="37"/>
        <w:ind w:firstLine="400"/>
        <w:rPr>
          <w:sz w:val="20"/>
          <w:szCs w:val="20"/>
        </w:rPr>
      </w:pPr>
      <w:r>
        <w:rPr>
          <w:rFonts w:hint="eastAsia"/>
          <w:sz w:val="20"/>
          <w:szCs w:val="20"/>
        </w:rPr>
        <w:t>为了便于研究，本报告所指北部沿海经济区仅包括天津、河北和山东。北京单独进行分析。</w:t>
      </w:r>
    </w:p>
    <w:p>
      <w:pPr>
        <w:pStyle w:val="44"/>
        <w:spacing w:before="156"/>
      </w:pPr>
      <w:bookmarkStart w:id="54" w:name="_Toc470167348"/>
      <w:r>
        <w:rPr>
          <w:rFonts w:hint="eastAsia"/>
        </w:rPr>
        <w:t>（三）自主创业的行业</w:t>
      </w:r>
      <w:bookmarkEnd w:id="54"/>
    </w:p>
    <w:p>
      <w:pPr>
        <w:pStyle w:val="37"/>
        <w:ind w:firstLine="480"/>
      </w:pPr>
      <w:bookmarkStart w:id="55" w:name="PO_323"/>
      <w:bookmarkEnd w:id="55"/>
      <w:r>
        <w:rPr>
          <w:rFonts w:hint="eastAsia"/>
        </w:rPr>
        <w:t>毕业生自主创业的行业主要集中于第三产业，占75.0%。其中，前三位依次为文化、体育和娱乐业（56.3%），教育及科研行业（12.5%），信息产业（6.3%）。</w:t>
      </w:r>
    </w:p>
    <w:p>
      <w:pPr>
        <w:jc w:val="center"/>
      </w:pPr>
      <w:r>
        <w:rPr>
          <w:rFonts w:hint="eastAsia"/>
        </w:rPr>
        <w:drawing>
          <wp:inline distT="0" distB="0" distL="0" distR="0">
            <wp:extent cx="6076950" cy="3077210"/>
            <wp:effectExtent l="19050" t="0" r="19050" b="889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59"/>
        <w:spacing w:before="156" w:after="312"/>
      </w:pPr>
      <w:r>
        <w:rPr>
          <w:rFonts w:hint="eastAsia"/>
        </w:rPr>
        <w:t>自主创业的行业</w:t>
      </w:r>
    </w:p>
    <w:p>
      <w:pPr>
        <w:pStyle w:val="53"/>
        <w:spacing w:before="312" w:after="156"/>
      </w:pPr>
      <w:r>
        <w:rPr>
          <w:rFonts w:hint="eastAsia"/>
        </w:rPr>
        <w:t>自主创业的行业</w:t>
      </w:r>
    </w:p>
    <w:tbl>
      <w:tblPr>
        <w:tblStyle w:val="33"/>
        <w:tblW w:w="4114"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210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2106" w:type="dxa"/>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restart"/>
            <w:shd w:val="clear" w:color="auto" w:fill="auto"/>
            <w:vAlign w:val="center"/>
          </w:tcPr>
          <w:p>
            <w:pPr>
              <w:pStyle w:val="52"/>
              <w:jc w:val="center"/>
              <w:rPr>
                <w:kern w:val="0"/>
              </w:rPr>
            </w:pPr>
            <w:r>
              <w:rPr>
                <w:rFonts w:hint="eastAsia"/>
                <w:kern w:val="0"/>
              </w:rPr>
              <w:t>第三产业</w:t>
            </w:r>
          </w:p>
        </w:tc>
        <w:tc>
          <w:tcPr>
            <w:tcW w:w="2106" w:type="dxa"/>
          </w:tcPr>
          <w:p>
            <w:pPr>
              <w:pStyle w:val="52"/>
              <w:jc w:val="center"/>
              <w:rPr>
                <w:kern w:val="0"/>
              </w:rPr>
            </w:pPr>
            <w:r>
              <w:rPr>
                <w:rFonts w:hint="eastAsia"/>
                <w:kern w:val="0"/>
              </w:rPr>
              <w:t>信息产业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2106" w:type="dxa"/>
          </w:tcPr>
          <w:p>
            <w:pPr>
              <w:pStyle w:val="52"/>
              <w:jc w:val="center"/>
              <w:rPr>
                <w:kern w:val="0"/>
              </w:rPr>
            </w:pPr>
            <w:r>
              <w:rPr>
                <w:rFonts w:hint="eastAsia"/>
                <w:kern w:val="0"/>
              </w:rPr>
              <w:t>教育及科研行业</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vMerge w:val="continue"/>
            <w:shd w:val="clear" w:color="auto" w:fill="auto"/>
            <w:vAlign w:val="center"/>
          </w:tcPr>
          <w:p>
            <w:pPr>
              <w:pStyle w:val="52"/>
              <w:jc w:val="center"/>
              <w:rPr>
                <w:kern w:val="0"/>
              </w:rPr>
            </w:pPr>
          </w:p>
        </w:tc>
        <w:tc>
          <w:tcPr>
            <w:tcW w:w="2106" w:type="dxa"/>
          </w:tcPr>
          <w:p>
            <w:pPr>
              <w:pStyle w:val="52"/>
              <w:jc w:val="center"/>
              <w:rPr>
                <w:kern w:val="0"/>
              </w:rPr>
            </w:pPr>
            <w:r>
              <w:rPr>
                <w:rFonts w:hint="eastAsia"/>
                <w:kern w:val="0"/>
              </w:rPr>
              <w:t>文化、体育和娱乐业</w:t>
            </w:r>
          </w:p>
        </w:tc>
        <w:tc>
          <w:tcPr>
            <w:tcW w:w="368"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56.3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jc w:val="center"/>
              <w:rPr>
                <w:kern w:val="0"/>
              </w:rPr>
            </w:pPr>
            <w:r>
              <w:rPr>
                <w:rFonts w:hint="eastAsia"/>
                <w:kern w:val="0"/>
              </w:rPr>
              <w:t>其他</w:t>
            </w:r>
          </w:p>
        </w:tc>
        <w:tc>
          <w:tcPr>
            <w:tcW w:w="2106" w:type="dxa"/>
          </w:tcPr>
          <w:p>
            <w:pPr>
              <w:pStyle w:val="52"/>
              <w:jc w:val="center"/>
              <w:rPr>
                <w:kern w:val="0"/>
              </w:rPr>
            </w:pP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25.0</w:t>
            </w:r>
          </w:p>
        </w:tc>
      </w:tr>
    </w:tbl>
    <w:p>
      <w:pPr>
        <w:pStyle w:val="37"/>
        <w:ind w:firstLine="480"/>
      </w:pPr>
    </w:p>
    <w:p>
      <w:pPr>
        <w:pStyle w:val="44"/>
        <w:spacing w:before="156"/>
      </w:pPr>
      <w:bookmarkStart w:id="56" w:name="_Toc470167349"/>
      <w:r>
        <w:rPr>
          <w:rFonts w:hint="eastAsia"/>
        </w:rPr>
        <w:t>（四）创业工作与所学专业的相关程度</w:t>
      </w:r>
      <w:bookmarkEnd w:id="56"/>
    </w:p>
    <w:p>
      <w:pPr>
        <w:pStyle w:val="37"/>
        <w:ind w:firstLine="480"/>
      </w:pPr>
      <w:bookmarkStart w:id="57" w:name="PO_328"/>
      <w:bookmarkEnd w:id="57"/>
      <w:r>
        <w:rPr>
          <w:rFonts w:hint="eastAsia"/>
        </w:rPr>
        <w:t>从自主创业与所学专业的相关性来看，调查评分均分为4.31。其中，93.8%的人表示创业工作与所学专业“很相关”或“相关”，6.3%的人表示“不好说”。</w:t>
      </w:r>
    </w:p>
    <w:p>
      <w:pPr>
        <w:jc w:val="center"/>
      </w:pPr>
      <w:r>
        <w:rPr>
          <w:rFonts w:hint="eastAsia"/>
        </w:rPr>
        <w:drawing>
          <wp:inline distT="0" distB="0" distL="0" distR="0">
            <wp:extent cx="6076950" cy="3077210"/>
            <wp:effectExtent l="19050" t="0" r="19050" b="889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59"/>
        <w:spacing w:before="156" w:after="312"/>
      </w:pPr>
      <w:r>
        <w:rPr>
          <w:rFonts w:hint="eastAsia"/>
        </w:rPr>
        <w:t>创业与所学专业的相关程度</w:t>
      </w:r>
    </w:p>
    <w:p>
      <w:pPr>
        <w:pStyle w:val="53"/>
        <w:spacing w:before="312" w:after="156"/>
      </w:pPr>
      <w:r>
        <w:rPr>
          <w:rFonts w:hint="eastAsia"/>
        </w:rPr>
        <w:t>创业与所学专业的相关程度</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很相关</w:t>
            </w:r>
          </w:p>
        </w:tc>
        <w:tc>
          <w:tcPr>
            <w:tcW w:w="368" w:type="dxa"/>
            <w:shd w:val="clear" w:color="auto" w:fill="auto"/>
            <w:vAlign w:val="center"/>
          </w:tcPr>
          <w:p>
            <w:pPr>
              <w:pStyle w:val="52"/>
              <w:jc w:val="center"/>
              <w:rPr>
                <w:kern w:val="0"/>
              </w:rPr>
            </w:pPr>
            <w:r>
              <w:rPr>
                <w:kern w:val="0"/>
              </w:rPr>
              <w:t>6</w:t>
            </w:r>
          </w:p>
        </w:tc>
        <w:tc>
          <w:tcPr>
            <w:tcW w:w="584" w:type="dxa"/>
            <w:shd w:val="clear" w:color="auto" w:fill="auto"/>
            <w:vAlign w:val="center"/>
          </w:tcPr>
          <w:p>
            <w:pPr>
              <w:pStyle w:val="52"/>
              <w:jc w:val="center"/>
              <w:rPr>
                <w:kern w:val="0"/>
              </w:rPr>
            </w:pPr>
            <w:r>
              <w:rPr>
                <w:kern w:val="0"/>
              </w:rPr>
              <w:t>37.5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相关</w:t>
            </w:r>
          </w:p>
        </w:tc>
        <w:tc>
          <w:tcPr>
            <w:tcW w:w="368"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56.3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bl>
    <w:p>
      <w:pPr>
        <w:pStyle w:val="37"/>
        <w:ind w:firstLine="400"/>
      </w:pPr>
      <w:r>
        <w:rPr>
          <w:rFonts w:hint="eastAsia"/>
          <w:sz w:val="20"/>
          <w:szCs w:val="20"/>
        </w:rPr>
        <w:t>注：得分5=很相关，4=相关，3=不好说，2=不相关，1=很不相关</w:t>
      </w:r>
    </w:p>
    <w:p>
      <w:pPr>
        <w:pStyle w:val="44"/>
        <w:spacing w:before="156"/>
      </w:pPr>
      <w:bookmarkStart w:id="58" w:name="_Toc470167350"/>
      <w:r>
        <w:rPr>
          <w:rFonts w:hint="eastAsia"/>
        </w:rPr>
        <w:t>（五）创业项目的筹资途径</w:t>
      </w:r>
      <w:bookmarkEnd w:id="58"/>
    </w:p>
    <w:p>
      <w:pPr>
        <w:pStyle w:val="37"/>
        <w:ind w:firstLine="480"/>
      </w:pPr>
      <w:bookmarkStart w:id="59" w:name="PO_324"/>
      <w:bookmarkEnd w:id="59"/>
      <w:r>
        <w:rPr>
          <w:rFonts w:hint="eastAsia"/>
        </w:rPr>
        <w:t>本题为多选题，结果显示，50.0%的毕业生主要依赖单一的筹资途径，50.0%的毕业生依赖两种及以上筹资途径。其中，自筹资金（87.5%），天使投资（25.0%），技术融资（18.8%）是最主要的三种途径。</w:t>
      </w:r>
    </w:p>
    <w:p>
      <w:pPr>
        <w:jc w:val="center"/>
      </w:pPr>
      <w:r>
        <w:rPr>
          <w:rFonts w:hint="eastAsia"/>
        </w:rPr>
        <w:drawing>
          <wp:inline distT="0" distB="0" distL="0" distR="0">
            <wp:extent cx="6076950" cy="3077210"/>
            <wp:effectExtent l="19050" t="0" r="19050" b="889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59"/>
        <w:spacing w:before="156" w:after="312"/>
      </w:pPr>
      <w:r>
        <w:rPr>
          <w:rFonts w:hint="eastAsia"/>
        </w:rPr>
        <w:t>创业项目的筹资途径</w:t>
      </w:r>
    </w:p>
    <w:p>
      <w:pPr>
        <w:pStyle w:val="53"/>
        <w:spacing w:before="312" w:after="156"/>
      </w:pPr>
      <w:r>
        <w:rPr>
          <w:rFonts w:hint="eastAsia"/>
        </w:rPr>
        <w:t>创业项目的筹资途径</w:t>
      </w:r>
    </w:p>
    <w:tbl>
      <w:tblPr>
        <w:tblStyle w:val="33"/>
        <w:tblW w:w="206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自筹资金</w:t>
            </w:r>
          </w:p>
        </w:tc>
        <w:tc>
          <w:tcPr>
            <w:tcW w:w="426" w:type="dxa"/>
            <w:shd w:val="clear" w:color="auto" w:fill="auto"/>
            <w:vAlign w:val="center"/>
          </w:tcPr>
          <w:p>
            <w:pPr>
              <w:pStyle w:val="52"/>
              <w:jc w:val="center"/>
              <w:rPr>
                <w:kern w:val="0"/>
              </w:rPr>
            </w:pPr>
            <w:r>
              <w:rPr>
                <w:kern w:val="0"/>
              </w:rPr>
              <w:t>14</w:t>
            </w:r>
          </w:p>
        </w:tc>
        <w:tc>
          <w:tcPr>
            <w:tcW w:w="584" w:type="dxa"/>
            <w:shd w:val="clear" w:color="auto" w:fill="auto"/>
            <w:vAlign w:val="center"/>
          </w:tcPr>
          <w:p>
            <w:pPr>
              <w:pStyle w:val="52"/>
              <w:jc w:val="center"/>
              <w:rPr>
                <w:kern w:val="0"/>
              </w:rPr>
            </w:pPr>
            <w:r>
              <w:rPr>
                <w:kern w:val="0"/>
              </w:rPr>
              <w:t>87.5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技术融资</w:t>
            </w:r>
          </w:p>
        </w:tc>
        <w:tc>
          <w:tcPr>
            <w:tcW w:w="426"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天使投资</w:t>
            </w:r>
          </w:p>
        </w:tc>
        <w:tc>
          <w:tcPr>
            <w:tcW w:w="42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风险投资</w:t>
            </w:r>
          </w:p>
        </w:tc>
        <w:tc>
          <w:tcPr>
            <w:tcW w:w="426"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056" w:type="dxa"/>
            <w:shd w:val="clear" w:color="auto" w:fill="auto"/>
            <w:vAlign w:val="center"/>
          </w:tcPr>
          <w:p>
            <w:pPr>
              <w:pStyle w:val="52"/>
              <w:rPr>
                <w:kern w:val="0"/>
              </w:rPr>
            </w:pPr>
            <w:r>
              <w:rPr>
                <w:rFonts w:hint="eastAsia"/>
                <w:kern w:val="0"/>
              </w:rPr>
              <w:t>高校支持</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银行贷款</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bl>
    <w:p>
      <w:pPr>
        <w:pStyle w:val="37"/>
        <w:ind w:firstLine="480"/>
      </w:pPr>
    </w:p>
    <w:p>
      <w:pPr>
        <w:pStyle w:val="44"/>
        <w:spacing w:before="156"/>
      </w:pPr>
      <w:bookmarkStart w:id="60" w:name="_Toc470167351"/>
      <w:r>
        <w:rPr>
          <w:rFonts w:hint="eastAsia"/>
        </w:rPr>
        <w:t>（六）创业组织经营年限及人员规模</w:t>
      </w:r>
      <w:bookmarkEnd w:id="60"/>
    </w:p>
    <w:p>
      <w:pPr>
        <w:pStyle w:val="67"/>
      </w:pPr>
      <w:bookmarkStart w:id="61" w:name="_Toc465070296"/>
      <w:bookmarkStart w:id="62" w:name="_Toc462418395"/>
      <w:bookmarkStart w:id="63" w:name="_Toc470167352"/>
      <w:r>
        <w:rPr>
          <w:rFonts w:hint="eastAsia"/>
        </w:rPr>
        <w:t>1、创业组织经营年限</w:t>
      </w:r>
      <w:bookmarkEnd w:id="61"/>
      <w:bookmarkEnd w:id="62"/>
      <w:bookmarkEnd w:id="63"/>
    </w:p>
    <w:p>
      <w:pPr>
        <w:pStyle w:val="37"/>
        <w:ind w:firstLine="480"/>
      </w:pPr>
      <w:bookmarkStart w:id="64" w:name="PO_3251"/>
      <w:bookmarkEnd w:id="64"/>
      <w:r>
        <w:rPr>
          <w:rFonts w:hint="eastAsia"/>
        </w:rPr>
        <w:t>调查显示，从经营年限来看，本校毕业生的创业组织平均经营年限为6.33月（N=9）。</w:t>
      </w:r>
    </w:p>
    <w:p>
      <w:pPr>
        <w:pStyle w:val="53"/>
        <w:spacing w:before="312" w:after="156"/>
      </w:pPr>
      <w:r>
        <w:rPr>
          <w:rFonts w:hint="eastAsia"/>
        </w:rPr>
        <w:t>创业组织经营年限</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9</w:t>
            </w:r>
          </w:p>
        </w:tc>
        <w:tc>
          <w:tcPr>
            <w:tcW w:w="1067" w:type="dxa"/>
            <w:vAlign w:val="center"/>
          </w:tcPr>
          <w:p>
            <w:pPr>
              <w:pStyle w:val="52"/>
              <w:jc w:val="center"/>
              <w:rPr>
                <w:kern w:val="0"/>
              </w:rPr>
            </w:pPr>
            <w:r>
              <w:rPr>
                <w:kern w:val="0"/>
              </w:rPr>
              <w:t>6.00</w:t>
            </w:r>
          </w:p>
        </w:tc>
        <w:tc>
          <w:tcPr>
            <w:tcW w:w="1067" w:type="dxa"/>
            <w:shd w:val="clear" w:color="auto" w:fill="auto"/>
            <w:vAlign w:val="center"/>
          </w:tcPr>
          <w:p>
            <w:pPr>
              <w:pStyle w:val="52"/>
              <w:jc w:val="center"/>
              <w:rPr>
                <w:kern w:val="0"/>
              </w:rPr>
            </w:pPr>
            <w:r>
              <w:rPr>
                <w:kern w:val="0"/>
              </w:rPr>
              <w:t>6.33</w:t>
            </w:r>
          </w:p>
        </w:tc>
        <w:tc>
          <w:tcPr>
            <w:tcW w:w="1068" w:type="dxa"/>
            <w:shd w:val="clear" w:color="auto" w:fill="auto"/>
            <w:vAlign w:val="center"/>
          </w:tcPr>
          <w:p>
            <w:pPr>
              <w:pStyle w:val="52"/>
              <w:jc w:val="center"/>
              <w:rPr>
                <w:kern w:val="0"/>
              </w:rPr>
            </w:pPr>
            <w:r>
              <w:rPr>
                <w:kern w:val="0"/>
              </w:rPr>
              <w:t>3.64</w:t>
            </w:r>
          </w:p>
        </w:tc>
      </w:tr>
    </w:tbl>
    <w:p>
      <w:pPr>
        <w:pStyle w:val="52"/>
      </w:pPr>
    </w:p>
    <w:p>
      <w:pPr>
        <w:pStyle w:val="67"/>
      </w:pPr>
      <w:bookmarkStart w:id="65" w:name="_Toc465070297"/>
      <w:bookmarkStart w:id="66" w:name="_Toc462418396"/>
      <w:bookmarkStart w:id="67" w:name="_Toc470167353"/>
      <w:r>
        <w:rPr>
          <w:rFonts w:hint="eastAsia"/>
        </w:rPr>
        <w:t>2、创业组织人员规模</w:t>
      </w:r>
      <w:bookmarkEnd w:id="65"/>
      <w:bookmarkEnd w:id="66"/>
      <w:bookmarkEnd w:id="67"/>
    </w:p>
    <w:p>
      <w:pPr>
        <w:pStyle w:val="37"/>
        <w:ind w:firstLine="480"/>
      </w:pPr>
      <w:bookmarkStart w:id="68" w:name="PO_3252"/>
      <w:bookmarkEnd w:id="68"/>
      <w:r>
        <w:rPr>
          <w:rFonts w:hint="eastAsia"/>
        </w:rPr>
        <w:t>调查显示，从人员规模来看，创业组织的人数平均为4.92人（N=12）。</w:t>
      </w:r>
    </w:p>
    <w:p>
      <w:pPr>
        <w:pStyle w:val="53"/>
        <w:spacing w:before="312" w:after="156"/>
      </w:pPr>
      <w:r>
        <w:rPr>
          <w:rFonts w:hint="eastAsia"/>
        </w:rPr>
        <w:t>创业组织人员规模</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12</w:t>
            </w:r>
          </w:p>
        </w:tc>
        <w:tc>
          <w:tcPr>
            <w:tcW w:w="1067" w:type="dxa"/>
            <w:vAlign w:val="center"/>
          </w:tcPr>
          <w:p>
            <w:pPr>
              <w:pStyle w:val="52"/>
              <w:jc w:val="center"/>
              <w:rPr>
                <w:kern w:val="0"/>
              </w:rPr>
            </w:pPr>
            <w:r>
              <w:rPr>
                <w:kern w:val="0"/>
              </w:rPr>
              <w:t>4.50</w:t>
            </w:r>
          </w:p>
        </w:tc>
        <w:tc>
          <w:tcPr>
            <w:tcW w:w="1067" w:type="dxa"/>
            <w:shd w:val="clear" w:color="auto" w:fill="auto"/>
            <w:vAlign w:val="center"/>
          </w:tcPr>
          <w:p>
            <w:pPr>
              <w:pStyle w:val="52"/>
              <w:jc w:val="center"/>
              <w:rPr>
                <w:kern w:val="0"/>
              </w:rPr>
            </w:pPr>
            <w:r>
              <w:rPr>
                <w:kern w:val="0"/>
              </w:rPr>
              <w:t>4.92</w:t>
            </w:r>
          </w:p>
        </w:tc>
        <w:tc>
          <w:tcPr>
            <w:tcW w:w="1068" w:type="dxa"/>
            <w:shd w:val="clear" w:color="auto" w:fill="auto"/>
            <w:vAlign w:val="center"/>
          </w:tcPr>
          <w:p>
            <w:pPr>
              <w:pStyle w:val="52"/>
              <w:jc w:val="center"/>
              <w:rPr>
                <w:kern w:val="0"/>
              </w:rPr>
            </w:pPr>
            <w:r>
              <w:rPr>
                <w:kern w:val="0"/>
              </w:rPr>
              <w:t>2.23</w:t>
            </w:r>
          </w:p>
        </w:tc>
      </w:tr>
    </w:tbl>
    <w:p>
      <w:pPr>
        <w:pStyle w:val="52"/>
      </w:pPr>
    </w:p>
    <w:p>
      <w:pPr>
        <w:pStyle w:val="44"/>
        <w:spacing w:before="156"/>
      </w:pPr>
      <w:bookmarkStart w:id="69" w:name="_Toc470167354"/>
      <w:r>
        <w:rPr>
          <w:rFonts w:hint="eastAsia"/>
        </w:rPr>
        <w:t>（七）创业项目投资额及实现利润额</w:t>
      </w:r>
      <w:bookmarkEnd w:id="69"/>
    </w:p>
    <w:p>
      <w:pPr>
        <w:pStyle w:val="67"/>
      </w:pPr>
      <w:bookmarkStart w:id="70" w:name="_Toc462418398"/>
      <w:bookmarkStart w:id="71" w:name="_Toc465070299"/>
      <w:bookmarkStart w:id="72" w:name="_Toc470167355"/>
      <w:r>
        <w:rPr>
          <w:rFonts w:hint="eastAsia"/>
        </w:rPr>
        <w:t>1、创业项目投资额</w:t>
      </w:r>
      <w:bookmarkEnd w:id="70"/>
      <w:bookmarkEnd w:id="71"/>
      <w:bookmarkEnd w:id="72"/>
    </w:p>
    <w:p>
      <w:pPr>
        <w:pStyle w:val="37"/>
        <w:ind w:firstLine="480"/>
      </w:pPr>
      <w:bookmarkStart w:id="73" w:name="PO_3261"/>
      <w:bookmarkEnd w:id="73"/>
      <w:r>
        <w:rPr>
          <w:rFonts w:hint="eastAsia"/>
        </w:rPr>
        <w:t>调查显示，本校毕业生的创业项目投资金额平均为36.63万元（N=8）。</w:t>
      </w:r>
    </w:p>
    <w:p>
      <w:pPr>
        <w:pStyle w:val="53"/>
        <w:spacing w:before="312" w:after="156"/>
      </w:pPr>
      <w:r>
        <w:rPr>
          <w:rFonts w:hint="eastAsia"/>
        </w:rPr>
        <w:t>创业项目投资额</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8</w:t>
            </w:r>
          </w:p>
        </w:tc>
        <w:tc>
          <w:tcPr>
            <w:tcW w:w="1067" w:type="dxa"/>
            <w:vAlign w:val="center"/>
          </w:tcPr>
          <w:p>
            <w:pPr>
              <w:pStyle w:val="52"/>
              <w:jc w:val="center"/>
              <w:rPr>
                <w:kern w:val="0"/>
              </w:rPr>
            </w:pPr>
            <w:r>
              <w:rPr>
                <w:kern w:val="0"/>
              </w:rPr>
              <w:t>30.00</w:t>
            </w:r>
          </w:p>
        </w:tc>
        <w:tc>
          <w:tcPr>
            <w:tcW w:w="1067" w:type="dxa"/>
            <w:shd w:val="clear" w:color="auto" w:fill="auto"/>
            <w:vAlign w:val="center"/>
          </w:tcPr>
          <w:p>
            <w:pPr>
              <w:pStyle w:val="52"/>
              <w:jc w:val="center"/>
              <w:rPr>
                <w:kern w:val="0"/>
              </w:rPr>
            </w:pPr>
            <w:r>
              <w:rPr>
                <w:kern w:val="0"/>
              </w:rPr>
              <w:t>36.63</w:t>
            </w:r>
          </w:p>
        </w:tc>
        <w:tc>
          <w:tcPr>
            <w:tcW w:w="1068" w:type="dxa"/>
            <w:shd w:val="clear" w:color="auto" w:fill="auto"/>
            <w:vAlign w:val="center"/>
          </w:tcPr>
          <w:p>
            <w:pPr>
              <w:pStyle w:val="52"/>
              <w:jc w:val="center"/>
              <w:rPr>
                <w:kern w:val="0"/>
              </w:rPr>
            </w:pPr>
            <w:r>
              <w:rPr>
                <w:kern w:val="0"/>
              </w:rPr>
              <w:t>32.86</w:t>
            </w:r>
          </w:p>
        </w:tc>
      </w:tr>
    </w:tbl>
    <w:p>
      <w:pPr>
        <w:pStyle w:val="52"/>
      </w:pPr>
    </w:p>
    <w:p>
      <w:pPr>
        <w:pStyle w:val="67"/>
      </w:pPr>
      <w:bookmarkStart w:id="74" w:name="_Toc465070300"/>
      <w:bookmarkStart w:id="75" w:name="_Toc462418399"/>
      <w:bookmarkStart w:id="76" w:name="_Toc470167356"/>
      <w:r>
        <w:rPr>
          <w:rFonts w:hint="eastAsia"/>
        </w:rPr>
        <w:t>2、创业项目利润额</w:t>
      </w:r>
      <w:bookmarkEnd w:id="74"/>
      <w:bookmarkEnd w:id="75"/>
      <w:bookmarkEnd w:id="76"/>
    </w:p>
    <w:p>
      <w:pPr>
        <w:pStyle w:val="37"/>
        <w:ind w:firstLine="480"/>
      </w:pPr>
      <w:bookmarkStart w:id="77" w:name="PO_3262"/>
      <w:bookmarkEnd w:id="77"/>
      <w:r>
        <w:rPr>
          <w:rFonts w:hint="eastAsia"/>
        </w:rPr>
        <w:t>调查显示，本校毕业生的创业项目实现的总利润额平均为26.70万元（N=5）。</w:t>
      </w:r>
    </w:p>
    <w:p>
      <w:pPr>
        <w:pStyle w:val="53"/>
        <w:spacing w:before="312" w:after="156"/>
      </w:pPr>
      <w:r>
        <w:rPr>
          <w:rFonts w:hint="eastAsia"/>
        </w:rPr>
        <w:t>创业项目年利润</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5</w:t>
            </w:r>
          </w:p>
        </w:tc>
        <w:tc>
          <w:tcPr>
            <w:tcW w:w="1067" w:type="dxa"/>
            <w:vAlign w:val="center"/>
          </w:tcPr>
          <w:p>
            <w:pPr>
              <w:pStyle w:val="52"/>
              <w:jc w:val="center"/>
              <w:rPr>
                <w:kern w:val="0"/>
              </w:rPr>
            </w:pPr>
            <w:r>
              <w:rPr>
                <w:kern w:val="0"/>
              </w:rPr>
              <w:t>15.00</w:t>
            </w:r>
          </w:p>
        </w:tc>
        <w:tc>
          <w:tcPr>
            <w:tcW w:w="1067" w:type="dxa"/>
            <w:shd w:val="clear" w:color="auto" w:fill="auto"/>
            <w:vAlign w:val="center"/>
          </w:tcPr>
          <w:p>
            <w:pPr>
              <w:pStyle w:val="52"/>
              <w:jc w:val="center"/>
              <w:rPr>
                <w:kern w:val="0"/>
              </w:rPr>
            </w:pPr>
            <w:r>
              <w:rPr>
                <w:kern w:val="0"/>
              </w:rPr>
              <w:t>26.70</w:t>
            </w:r>
          </w:p>
        </w:tc>
        <w:tc>
          <w:tcPr>
            <w:tcW w:w="1068" w:type="dxa"/>
            <w:shd w:val="clear" w:color="auto" w:fill="auto"/>
            <w:vAlign w:val="center"/>
          </w:tcPr>
          <w:p>
            <w:pPr>
              <w:pStyle w:val="52"/>
              <w:jc w:val="center"/>
              <w:rPr>
                <w:kern w:val="0"/>
              </w:rPr>
            </w:pPr>
            <w:r>
              <w:rPr>
                <w:kern w:val="0"/>
              </w:rPr>
              <w:t>26.45</w:t>
            </w:r>
          </w:p>
        </w:tc>
      </w:tr>
    </w:tbl>
    <w:p>
      <w:pPr>
        <w:pStyle w:val="52"/>
      </w:pPr>
    </w:p>
    <w:p>
      <w:pPr>
        <w:pStyle w:val="44"/>
        <w:spacing w:before="156"/>
      </w:pPr>
      <w:bookmarkStart w:id="78" w:name="_Toc470167357"/>
      <w:r>
        <w:rPr>
          <w:rFonts w:hint="eastAsia"/>
        </w:rPr>
        <w:t>（八）创业过程中遇到的问题</w:t>
      </w:r>
      <w:bookmarkEnd w:id="78"/>
    </w:p>
    <w:p>
      <w:pPr>
        <w:pStyle w:val="37"/>
        <w:ind w:firstLine="480"/>
      </w:pPr>
      <w:bookmarkStart w:id="79" w:name="PO_327"/>
      <w:bookmarkEnd w:id="79"/>
      <w:r>
        <w:rPr>
          <w:rFonts w:hint="eastAsia"/>
        </w:rPr>
        <w:t>总体而言，毕业生自主创业过程中遇到的最主要的困难是寻找资金支持（50.0%），其次是创业团队组建及管理（12.5%）、产品与服务营销（12.5%）。</w:t>
      </w:r>
    </w:p>
    <w:p>
      <w:pPr>
        <w:jc w:val="center"/>
      </w:pPr>
      <w:r>
        <w:rPr>
          <w:rFonts w:hint="eastAsia"/>
        </w:rPr>
        <w:drawing>
          <wp:inline distT="0" distB="0" distL="0" distR="0">
            <wp:extent cx="6076950" cy="3201035"/>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59"/>
        <w:spacing w:before="156" w:after="312"/>
      </w:pPr>
      <w:r>
        <w:rPr>
          <w:rFonts w:hint="eastAsia"/>
        </w:rPr>
        <w:t>创业遇到的问题</w:t>
      </w:r>
    </w:p>
    <w:p>
      <w:pPr>
        <w:pStyle w:val="53"/>
        <w:spacing w:before="312" w:after="156"/>
      </w:pPr>
      <w:r>
        <w:rPr>
          <w:rFonts w:hint="eastAsia"/>
        </w:rPr>
        <w:t>创业遇到的问题</w:t>
      </w:r>
    </w:p>
    <w:tbl>
      <w:tblPr>
        <w:tblStyle w:val="33"/>
        <w:tblW w:w="305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10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10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撰写商业计划书</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寻找资金支持</w:t>
            </w:r>
          </w:p>
        </w:tc>
        <w:tc>
          <w:tcPr>
            <w:tcW w:w="368"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50.0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寻找公司注册地点</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创业团队组建及管理</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106" w:type="dxa"/>
            <w:shd w:val="clear" w:color="auto" w:fill="auto"/>
            <w:vAlign w:val="center"/>
          </w:tcPr>
          <w:p>
            <w:pPr>
              <w:pStyle w:val="52"/>
              <w:rPr>
                <w:kern w:val="0"/>
              </w:rPr>
            </w:pPr>
            <w:r>
              <w:rPr>
                <w:rFonts w:hint="eastAsia"/>
                <w:kern w:val="0"/>
              </w:rPr>
              <w:t>公司财务税务管理</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产品与服务营销</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风险控制</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bl>
    <w:p>
      <w:pPr>
        <w:pStyle w:val="37"/>
        <w:ind w:firstLine="480"/>
      </w:pPr>
    </w:p>
    <w:p>
      <w:pPr>
        <w:pStyle w:val="43"/>
        <w:spacing w:before="312" w:after="156"/>
      </w:pPr>
      <w:bookmarkStart w:id="80" w:name="_Toc470167358"/>
      <w:r>
        <w:rPr>
          <w:rFonts w:hint="eastAsia"/>
        </w:rPr>
        <w:t>三、专科生调查数据分析</w:t>
      </w:r>
      <w:bookmarkEnd w:id="80"/>
    </w:p>
    <w:p>
      <w:pPr>
        <w:pStyle w:val="44"/>
        <w:spacing w:before="156"/>
      </w:pPr>
      <w:bookmarkStart w:id="81" w:name="_Toc470167359"/>
      <w:r>
        <w:rPr>
          <w:rFonts w:hint="eastAsia"/>
        </w:rPr>
        <w:t>（一）专科生专业培养及就业创业教育反馈</w:t>
      </w:r>
      <w:bookmarkEnd w:id="81"/>
    </w:p>
    <w:p>
      <w:pPr>
        <w:pStyle w:val="67"/>
      </w:pPr>
      <w:bookmarkStart w:id="82" w:name="_Toc470167360"/>
      <w:r>
        <w:rPr>
          <w:rFonts w:hint="eastAsia"/>
        </w:rPr>
        <w:t>1、专业认同情况</w:t>
      </w:r>
      <w:bookmarkEnd w:id="82"/>
    </w:p>
    <w:p>
      <w:pPr>
        <w:pStyle w:val="70"/>
      </w:pPr>
      <w:r>
        <w:rPr>
          <w:rFonts w:hint="eastAsia"/>
        </w:rPr>
        <w:t>（1）选择本专业的方式</w:t>
      </w:r>
    </w:p>
    <w:p>
      <w:pPr>
        <w:pStyle w:val="37"/>
        <w:ind w:firstLine="480"/>
      </w:pPr>
      <w:r>
        <w:rPr>
          <w:rFonts w:hint="eastAsia"/>
        </w:rPr>
        <w:t>调查本科生如何选择现有所学专业，100.0%的人表示是“自主选择”。</w:t>
      </w:r>
    </w:p>
    <w:p>
      <w:pPr>
        <w:jc w:val="center"/>
      </w:pPr>
      <w:r>
        <w:rPr>
          <w:rFonts w:hint="eastAsia"/>
        </w:rPr>
        <w:drawing>
          <wp:inline distT="0" distB="0" distL="0" distR="0">
            <wp:extent cx="6076950" cy="2781300"/>
            <wp:effectExtent l="0" t="0" r="0" b="0"/>
            <wp:docPr id="4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59"/>
        <w:spacing w:before="156" w:after="312"/>
      </w:pPr>
      <w:r>
        <w:rPr>
          <w:rFonts w:hint="eastAsia"/>
        </w:rPr>
        <w:t>专科生选择本专业的方式</w:t>
      </w:r>
    </w:p>
    <w:p>
      <w:pPr>
        <w:pStyle w:val="59"/>
        <w:spacing w:before="156" w:after="312"/>
      </w:pPr>
      <w:r>
        <w:rPr>
          <w:rFonts w:hint="eastAsia"/>
        </w:rPr>
        <w:t>专科生选择本专业的方式</w:t>
      </w:r>
    </w:p>
    <w:tbl>
      <w:tblPr>
        <w:tblStyle w:val="33"/>
        <w:tblW w:w="2171"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426"/>
        <w:gridCol w:w="689"/>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689"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自主选择</w:t>
            </w:r>
          </w:p>
        </w:tc>
        <w:tc>
          <w:tcPr>
            <w:tcW w:w="426" w:type="dxa"/>
            <w:shd w:val="clear" w:color="auto" w:fill="auto"/>
            <w:vAlign w:val="center"/>
          </w:tcPr>
          <w:p>
            <w:pPr>
              <w:pStyle w:val="52"/>
              <w:jc w:val="center"/>
              <w:rPr>
                <w:kern w:val="0"/>
              </w:rPr>
            </w:pPr>
            <w:r>
              <w:rPr>
                <w:rFonts w:hint="eastAsia"/>
                <w:kern w:val="0"/>
              </w:rPr>
              <w:t>3</w:t>
            </w:r>
            <w:r>
              <w:rPr>
                <w:kern w:val="0"/>
              </w:rPr>
              <w:t>1</w:t>
            </w:r>
          </w:p>
        </w:tc>
        <w:tc>
          <w:tcPr>
            <w:tcW w:w="689" w:type="dxa"/>
            <w:shd w:val="clear" w:color="auto" w:fill="auto"/>
            <w:vAlign w:val="center"/>
          </w:tcPr>
          <w:p>
            <w:pPr>
              <w:pStyle w:val="52"/>
              <w:jc w:val="center"/>
              <w:rPr>
                <w:kern w:val="0"/>
              </w:rPr>
            </w:pPr>
            <w:r>
              <w:rPr>
                <w:rFonts w:hint="eastAsia"/>
                <w:kern w:val="0"/>
              </w:rPr>
              <w:t>100</w:t>
            </w:r>
            <w:r>
              <w:rPr>
                <w:kern w:val="0"/>
              </w:rPr>
              <w:t>.</w:t>
            </w:r>
            <w:r>
              <w:rPr>
                <w:rFonts w:hint="eastAsia"/>
                <w:kern w:val="0"/>
              </w:rPr>
              <w:t>0</w:t>
            </w:r>
          </w:p>
        </w:tc>
      </w:tr>
    </w:tbl>
    <w:p>
      <w:pPr>
        <w:pStyle w:val="37"/>
        <w:ind w:firstLine="480"/>
      </w:pPr>
    </w:p>
    <w:p>
      <w:pPr>
        <w:pStyle w:val="70"/>
      </w:pPr>
      <w:r>
        <w:rPr>
          <w:rFonts w:hint="eastAsia"/>
        </w:rPr>
        <w:t>（2）对本专业的态度</w:t>
      </w:r>
    </w:p>
    <w:p>
      <w:pPr>
        <w:pStyle w:val="37"/>
        <w:ind w:firstLine="480"/>
      </w:pPr>
      <w:r>
        <w:rPr>
          <w:rFonts w:hint="eastAsia"/>
        </w:rPr>
        <w:t>调查对本专业的态度时，96.8%的专科生表示“很喜欢”或“喜欢”所学专业，3.2%认为“不好说”。</w:t>
      </w:r>
    </w:p>
    <w:p>
      <w:pPr>
        <w:jc w:val="center"/>
      </w:pPr>
      <w:r>
        <w:rPr>
          <w:rFonts w:hint="eastAsia"/>
        </w:rPr>
        <w:drawing>
          <wp:inline distT="0" distB="0" distL="0" distR="0">
            <wp:extent cx="6076950" cy="3077210"/>
            <wp:effectExtent l="19050" t="0" r="19050" b="8890"/>
            <wp:docPr id="4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59"/>
        <w:spacing w:before="156" w:after="312"/>
      </w:pPr>
      <w:r>
        <w:rPr>
          <w:rFonts w:hint="eastAsia"/>
        </w:rPr>
        <w:t>专科生对待本专业的态度</w:t>
      </w:r>
    </w:p>
    <w:p>
      <w:pPr>
        <w:pStyle w:val="53"/>
        <w:spacing w:before="312" w:after="156"/>
      </w:pPr>
      <w:r>
        <w:rPr>
          <w:rFonts w:hint="eastAsia"/>
        </w:rPr>
        <w:t>专科生对待本专业的态度</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很喜欢</w:t>
            </w:r>
          </w:p>
        </w:tc>
        <w:tc>
          <w:tcPr>
            <w:tcW w:w="426" w:type="dxa"/>
            <w:shd w:val="clear" w:color="auto" w:fill="auto"/>
            <w:vAlign w:val="center"/>
          </w:tcPr>
          <w:p>
            <w:pPr>
              <w:pStyle w:val="52"/>
              <w:jc w:val="center"/>
              <w:rPr>
                <w:kern w:val="0"/>
              </w:rPr>
            </w:pPr>
            <w:r>
              <w:rPr>
                <w:rFonts w:hint="eastAsia"/>
                <w:kern w:val="0"/>
              </w:rPr>
              <w:t>24</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77.4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喜欢</w:t>
            </w:r>
          </w:p>
        </w:tc>
        <w:tc>
          <w:tcPr>
            <w:tcW w:w="426" w:type="dxa"/>
            <w:shd w:val="clear" w:color="auto" w:fill="auto"/>
            <w:vAlign w:val="center"/>
          </w:tcPr>
          <w:p>
            <w:pPr>
              <w:pStyle w:val="52"/>
              <w:jc w:val="center"/>
              <w:rPr>
                <w:kern w:val="0"/>
              </w:rPr>
            </w:pPr>
            <w:r>
              <w:rPr>
                <w:rFonts w:hint="eastAsia"/>
                <w:kern w:val="0"/>
              </w:rPr>
              <w:t>6</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pStyle w:val="52"/>
              <w:jc w:val="center"/>
              <w:rPr>
                <w:kern w:val="0"/>
              </w:rPr>
            </w:pPr>
            <w:r>
              <w:rPr>
                <w:rFonts w:hint="eastAsia"/>
                <w:kern w:val="0"/>
              </w:rPr>
              <w:t>1</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r>
    </w:tbl>
    <w:p>
      <w:pPr>
        <w:pStyle w:val="37"/>
        <w:ind w:firstLine="480"/>
      </w:pPr>
    </w:p>
    <w:p>
      <w:pPr>
        <w:pStyle w:val="70"/>
      </w:pPr>
      <w:r>
        <w:rPr>
          <w:rFonts w:hint="eastAsia"/>
        </w:rPr>
        <w:t>（3）从事本专业相关工作的意愿</w:t>
      </w:r>
    </w:p>
    <w:p>
      <w:pPr>
        <w:pStyle w:val="37"/>
        <w:ind w:firstLine="480"/>
      </w:pPr>
      <w:r>
        <w:rPr>
          <w:rFonts w:hint="eastAsia"/>
        </w:rPr>
        <w:t>对于从事本专业相关工作的意愿，96.8%的专科生表示“很愿意”或“愿意”，3.2%认为“不好说”。</w:t>
      </w:r>
    </w:p>
    <w:p>
      <w:pPr>
        <w:jc w:val="center"/>
      </w:pPr>
      <w:r>
        <w:rPr>
          <w:rFonts w:hint="eastAsia"/>
        </w:rPr>
        <w:drawing>
          <wp:inline distT="0" distB="0" distL="0" distR="0">
            <wp:extent cx="6076950" cy="3077210"/>
            <wp:effectExtent l="19050" t="0" r="19050" b="8890"/>
            <wp:docPr id="4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59"/>
        <w:spacing w:before="156" w:after="312"/>
      </w:pPr>
      <w:r>
        <w:rPr>
          <w:rFonts w:hint="eastAsia"/>
        </w:rPr>
        <w:t>专科生对从事本专业相关工作的意愿</w:t>
      </w:r>
    </w:p>
    <w:p>
      <w:pPr>
        <w:pStyle w:val="53"/>
        <w:spacing w:before="312" w:after="156"/>
      </w:pPr>
      <w:r>
        <w:rPr>
          <w:rFonts w:hint="eastAsia"/>
        </w:rPr>
        <w:t>专科生对从事本专业相关工作的意愿</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很愿意</w:t>
            </w:r>
          </w:p>
        </w:tc>
        <w:tc>
          <w:tcPr>
            <w:tcW w:w="426" w:type="dxa"/>
            <w:shd w:val="clear" w:color="auto" w:fill="auto"/>
            <w:vAlign w:val="center"/>
          </w:tcPr>
          <w:p>
            <w:pPr>
              <w:pStyle w:val="52"/>
              <w:jc w:val="center"/>
              <w:rPr>
                <w:kern w:val="0"/>
              </w:rPr>
            </w:pPr>
            <w:r>
              <w:rPr>
                <w:rFonts w:hint="eastAsia"/>
                <w:kern w:val="0"/>
              </w:rPr>
              <w:t>24</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77.4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愿意</w:t>
            </w:r>
          </w:p>
        </w:tc>
        <w:tc>
          <w:tcPr>
            <w:tcW w:w="426" w:type="dxa"/>
            <w:shd w:val="clear" w:color="auto" w:fill="auto"/>
            <w:vAlign w:val="center"/>
          </w:tcPr>
          <w:p>
            <w:pPr>
              <w:pStyle w:val="52"/>
              <w:jc w:val="center"/>
              <w:rPr>
                <w:kern w:val="0"/>
              </w:rPr>
            </w:pPr>
            <w:r>
              <w:rPr>
                <w:rFonts w:hint="eastAsia"/>
                <w:kern w:val="0"/>
              </w:rPr>
              <w:t>6</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pStyle w:val="52"/>
              <w:jc w:val="center"/>
              <w:rPr>
                <w:kern w:val="0"/>
              </w:rPr>
            </w:pPr>
            <w:r>
              <w:rPr>
                <w:rFonts w:hint="eastAsia"/>
                <w:kern w:val="0"/>
              </w:rPr>
              <w:t>1</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r>
    </w:tbl>
    <w:p/>
    <w:p>
      <w:pPr>
        <w:pStyle w:val="67"/>
      </w:pPr>
      <w:bookmarkStart w:id="83" w:name="_Toc470167361"/>
      <w:r>
        <w:rPr>
          <w:rFonts w:hint="eastAsia"/>
        </w:rPr>
        <w:t>2、专业培养情况</w:t>
      </w:r>
      <w:bookmarkEnd w:id="83"/>
    </w:p>
    <w:p>
      <w:pPr>
        <w:pStyle w:val="70"/>
      </w:pPr>
      <w:r>
        <w:rPr>
          <w:rFonts w:hint="eastAsia"/>
        </w:rPr>
        <w:t>（1）对本专业课程设置的评价</w:t>
      </w:r>
    </w:p>
    <w:p>
      <w:pPr>
        <w:pStyle w:val="37"/>
        <w:ind w:firstLine="480"/>
      </w:pPr>
      <w:r>
        <w:rPr>
          <w:rFonts w:hint="eastAsia"/>
        </w:rPr>
        <w:t>对于本专业课程设置的满意程度，93.5%的专科生表示“很满意”或“满意”，6.5%认为“不好说”。</w:t>
      </w:r>
    </w:p>
    <w:p>
      <w:pPr>
        <w:jc w:val="center"/>
      </w:pPr>
      <w:r>
        <w:rPr>
          <w:rFonts w:hint="eastAsia"/>
        </w:rPr>
        <w:drawing>
          <wp:inline distT="0" distB="0" distL="0" distR="0">
            <wp:extent cx="6076950" cy="3077210"/>
            <wp:effectExtent l="19050" t="0" r="19050" b="8890"/>
            <wp:docPr id="4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59"/>
        <w:spacing w:before="156" w:after="312"/>
      </w:pPr>
      <w:r>
        <w:rPr>
          <w:rFonts w:hint="eastAsia"/>
        </w:rPr>
        <w:t>专科生对本专业课程设置的评价</w:t>
      </w:r>
    </w:p>
    <w:p>
      <w:pPr>
        <w:pStyle w:val="53"/>
        <w:spacing w:before="312" w:after="156"/>
      </w:pPr>
      <w:r>
        <w:rPr>
          <w:rFonts w:hint="eastAsia"/>
        </w:rPr>
        <w:t>专科生对本专业课程设置的评价</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13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41.9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16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51.6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2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6.5</w:t>
            </w:r>
          </w:p>
        </w:tc>
      </w:tr>
    </w:tbl>
    <w:p/>
    <w:p>
      <w:pPr>
        <w:pStyle w:val="70"/>
      </w:pPr>
      <w:r>
        <w:rPr>
          <w:rFonts w:hint="eastAsia"/>
        </w:rPr>
        <w:t>（2）对本专业教师授课水平的评价</w:t>
      </w:r>
    </w:p>
    <w:p>
      <w:pPr>
        <w:pStyle w:val="37"/>
        <w:ind w:firstLine="480"/>
      </w:pPr>
      <w:r>
        <w:rPr>
          <w:rFonts w:hint="eastAsia"/>
        </w:rPr>
        <w:t>对于专业教师授课水平的评价，100.0%的专科生表示“很满意”或“满意”。</w:t>
      </w:r>
    </w:p>
    <w:p>
      <w:pPr>
        <w:jc w:val="center"/>
      </w:pPr>
      <w:r>
        <w:rPr>
          <w:rFonts w:hint="eastAsia"/>
        </w:rPr>
        <w:drawing>
          <wp:inline distT="0" distB="0" distL="0" distR="0">
            <wp:extent cx="5972175" cy="2905125"/>
            <wp:effectExtent l="0" t="0" r="0" b="0"/>
            <wp:docPr id="4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59"/>
        <w:spacing w:before="156" w:after="312"/>
      </w:pPr>
      <w:r>
        <w:rPr>
          <w:rFonts w:hint="eastAsia"/>
        </w:rPr>
        <w:t>专科生对本专业教师授课水平的评价</w:t>
      </w:r>
    </w:p>
    <w:p>
      <w:pPr>
        <w:pStyle w:val="53"/>
        <w:spacing w:before="312" w:after="156"/>
      </w:pPr>
      <w:r>
        <w:rPr>
          <w:rFonts w:hint="eastAsia"/>
        </w:rPr>
        <w:t>专科生对本专业教师授课水平的评价</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22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9</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29.0</w:t>
            </w:r>
          </w:p>
        </w:tc>
      </w:tr>
    </w:tbl>
    <w:p>
      <w:pPr>
        <w:pStyle w:val="37"/>
        <w:ind w:firstLine="0" w:firstLineChars="0"/>
      </w:pPr>
    </w:p>
    <w:p>
      <w:pPr>
        <w:pStyle w:val="70"/>
      </w:pPr>
      <w:r>
        <w:rPr>
          <w:rFonts w:hint="eastAsia"/>
        </w:rPr>
        <w:t>（3）所学专业知识满足工作需要的情况</w:t>
      </w:r>
    </w:p>
    <w:p>
      <w:pPr>
        <w:pStyle w:val="37"/>
        <w:ind w:firstLine="480"/>
      </w:pPr>
      <w:r>
        <w:rPr>
          <w:rFonts w:hint="eastAsia"/>
        </w:rPr>
        <w:t>对于所学专业知识满足工作需要的程度，67.8%的专科生表示“很多”或“多”，29.0%认为“不好说”，3.2%则表示“少”。</w:t>
      </w:r>
    </w:p>
    <w:p>
      <w:pPr>
        <w:jc w:val="center"/>
      </w:pPr>
      <w:r>
        <w:rPr>
          <w:rFonts w:hint="eastAsia"/>
        </w:rPr>
        <w:drawing>
          <wp:inline distT="0" distB="0" distL="0" distR="0">
            <wp:extent cx="6076950" cy="3077210"/>
            <wp:effectExtent l="19050" t="0" r="19050" b="8890"/>
            <wp:docPr id="4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59"/>
        <w:spacing w:before="156" w:after="312"/>
      </w:pPr>
      <w:r>
        <w:rPr>
          <w:rFonts w:hint="eastAsia"/>
        </w:rPr>
        <w:t>专科生所学专业知识满足工作需要的程度</w:t>
      </w:r>
    </w:p>
    <w:p>
      <w:pPr>
        <w:pStyle w:val="53"/>
        <w:spacing w:before="312" w:after="156"/>
      </w:pPr>
      <w:r>
        <w:rPr>
          <w:rFonts w:hint="eastAsia"/>
        </w:rPr>
        <w:t>专科生所学专业知识满足工作需要的程度</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很多</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7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多</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14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9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少</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r>
    </w:tbl>
    <w:p>
      <w:pPr>
        <w:pStyle w:val="37"/>
        <w:ind w:firstLine="0" w:firstLineChars="0"/>
      </w:pPr>
    </w:p>
    <w:p>
      <w:pPr>
        <w:pStyle w:val="70"/>
      </w:pPr>
      <w:r>
        <w:rPr>
          <w:rFonts w:hint="eastAsia"/>
        </w:rPr>
        <w:t>（4）所学专业技能满足工作需要的情况</w:t>
      </w:r>
    </w:p>
    <w:p>
      <w:pPr>
        <w:pStyle w:val="37"/>
        <w:ind w:firstLine="480"/>
      </w:pPr>
      <w:r>
        <w:rPr>
          <w:rFonts w:hint="eastAsia"/>
        </w:rPr>
        <w:t>对于所学专业技能满足工作需要的程度，74.2%的专科生表示“很多”或“多”，22.6%认为“不好说”，3.2%则表示“少”。</w:t>
      </w:r>
    </w:p>
    <w:p>
      <w:pPr>
        <w:jc w:val="center"/>
      </w:pPr>
      <w:r>
        <w:rPr>
          <w:rFonts w:hint="eastAsia"/>
        </w:rPr>
        <w:drawing>
          <wp:inline distT="0" distB="0" distL="0" distR="0">
            <wp:extent cx="6076950" cy="3077210"/>
            <wp:effectExtent l="19050" t="0" r="19050" b="8890"/>
            <wp:docPr id="4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59"/>
        <w:spacing w:before="156" w:after="312"/>
      </w:pPr>
      <w:r>
        <w:rPr>
          <w:rFonts w:hint="eastAsia"/>
        </w:rPr>
        <w:t>专科生所学专业技能满足工作需要的程度</w:t>
      </w:r>
    </w:p>
    <w:p>
      <w:pPr>
        <w:pStyle w:val="53"/>
        <w:spacing w:before="312" w:after="156"/>
      </w:pPr>
      <w:r>
        <w:rPr>
          <w:rFonts w:hint="eastAsia"/>
        </w:rPr>
        <w:t>专科生所学专业技能满足工作需要的程度</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很多</w:t>
            </w:r>
          </w:p>
        </w:tc>
        <w:tc>
          <w:tcPr>
            <w:tcW w:w="426" w:type="dxa"/>
            <w:shd w:val="clear" w:color="auto" w:fill="auto"/>
            <w:vAlign w:val="center"/>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多</w:t>
            </w:r>
          </w:p>
        </w:tc>
        <w:tc>
          <w:tcPr>
            <w:tcW w:w="426" w:type="dxa"/>
            <w:shd w:val="clear" w:color="auto" w:fill="auto"/>
            <w:vAlign w:val="center"/>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16</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51.6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少</w:t>
            </w:r>
          </w:p>
        </w:tc>
        <w:tc>
          <w:tcPr>
            <w:tcW w:w="426" w:type="dxa"/>
            <w:shd w:val="clear" w:color="auto" w:fill="auto"/>
            <w:vAlign w:val="center"/>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r>
    </w:tbl>
    <w:p>
      <w:pPr>
        <w:pStyle w:val="37"/>
        <w:ind w:firstLine="0" w:firstLineChars="0"/>
      </w:pPr>
    </w:p>
    <w:p>
      <w:pPr>
        <w:pStyle w:val="70"/>
      </w:pPr>
      <w:r>
        <w:rPr>
          <w:rFonts w:hint="eastAsia"/>
        </w:rPr>
        <w:t>（5）对所学专业的社会需求程度的评价</w:t>
      </w:r>
    </w:p>
    <w:p>
      <w:pPr>
        <w:pStyle w:val="37"/>
        <w:ind w:firstLine="480"/>
      </w:pPr>
      <w:r>
        <w:rPr>
          <w:rFonts w:hint="eastAsia"/>
        </w:rPr>
        <w:t>对于所学专业的社会需求程度评价，61.3%的专科生表示“很高”或“高”，32.3%认为“不好说”，6.5%则表示“低”。</w:t>
      </w:r>
    </w:p>
    <w:p>
      <w:pPr>
        <w:jc w:val="center"/>
      </w:pPr>
      <w:r>
        <w:rPr>
          <w:rFonts w:hint="eastAsia"/>
        </w:rPr>
        <w:drawing>
          <wp:inline distT="0" distB="0" distL="0" distR="0">
            <wp:extent cx="6076950" cy="3077210"/>
            <wp:effectExtent l="19050" t="0" r="19050" b="8890"/>
            <wp:docPr id="4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59"/>
        <w:spacing w:before="156" w:after="312"/>
      </w:pPr>
      <w:r>
        <w:rPr>
          <w:rFonts w:hint="eastAsia"/>
        </w:rPr>
        <w:t>专科生对所学专业的社会需求程度的评价</w:t>
      </w:r>
    </w:p>
    <w:p>
      <w:pPr>
        <w:pStyle w:val="53"/>
        <w:spacing w:before="312" w:after="156"/>
      </w:pPr>
      <w:r>
        <w:rPr>
          <w:rFonts w:hint="eastAsia"/>
        </w:rPr>
        <w:t>专科生对所学专业的社会需求程度的评价</w:t>
      </w:r>
    </w:p>
    <w:tbl>
      <w:tblPr>
        <w:tblStyle w:val="33"/>
        <w:tblW w:w="185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很高</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5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r>
              <w:rPr>
                <w:rFonts w:hint="eastAsia" w:ascii="Times New Roman" w:hAnsi="Times New Roman" w:eastAsia="宋体" w:cs="Times New Roman"/>
                <w:color w:val="000000"/>
                <w:kern w:val="0"/>
                <w:szCs w:val="21"/>
              </w:rPr>
              <w:t>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高</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14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10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低</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2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w:t>
            </w:r>
          </w:p>
        </w:tc>
      </w:tr>
    </w:tbl>
    <w:p>
      <w:pPr>
        <w:pStyle w:val="37"/>
        <w:ind w:firstLine="0" w:firstLineChars="0"/>
      </w:pPr>
    </w:p>
    <w:p>
      <w:pPr>
        <w:pStyle w:val="67"/>
      </w:pPr>
      <w:bookmarkStart w:id="84" w:name="_Toc470167362"/>
      <w:r>
        <w:rPr>
          <w:rFonts w:hint="eastAsia"/>
        </w:rPr>
        <w:t>3、对就业教育及服务的评价</w:t>
      </w:r>
      <w:bookmarkEnd w:id="84"/>
    </w:p>
    <w:p>
      <w:pPr>
        <w:pStyle w:val="70"/>
      </w:pPr>
      <w:r>
        <w:rPr>
          <w:rFonts w:hint="eastAsia"/>
        </w:rPr>
        <w:t>（1）参与情况</w:t>
      </w:r>
    </w:p>
    <w:p>
      <w:pPr>
        <w:pStyle w:val="37"/>
        <w:ind w:firstLine="480"/>
      </w:pPr>
      <w:r>
        <w:rPr>
          <w:rFonts w:hint="eastAsia"/>
        </w:rPr>
        <w:t>对于学校的就业教育及服务，参与比例最高的前三项依次为就业指导课程（87.1%），就业指导讲座、工作坊与活动（64.5%），就业实习/实践（58.1%）。</w:t>
      </w:r>
    </w:p>
    <w:p>
      <w:pPr>
        <w:jc w:val="center"/>
      </w:pPr>
      <w:r>
        <w:rPr>
          <w:rFonts w:hint="eastAsia"/>
        </w:rPr>
        <w:drawing>
          <wp:inline distT="0" distB="0" distL="0" distR="0">
            <wp:extent cx="5274310" cy="8372475"/>
            <wp:effectExtent l="19050" t="0" r="21590" b="0"/>
            <wp:docPr id="4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59"/>
        <w:spacing w:before="156" w:after="312"/>
      </w:pPr>
      <w:r>
        <w:rPr>
          <w:rFonts w:hint="eastAsia"/>
        </w:rPr>
        <w:t>专科生就业教育及服务的参与情况</w:t>
      </w:r>
    </w:p>
    <w:p>
      <w:pPr>
        <w:pStyle w:val="70"/>
      </w:pPr>
      <w:r>
        <w:rPr>
          <w:rFonts w:hint="eastAsia"/>
        </w:rPr>
        <w:t>（2）满意程度</w:t>
      </w:r>
    </w:p>
    <w:p>
      <w:pPr>
        <w:pStyle w:val="37"/>
        <w:ind w:firstLine="480"/>
      </w:pPr>
      <w:r>
        <w:rPr>
          <w:rFonts w:hint="eastAsia"/>
        </w:rPr>
        <w:t>专科生向我们反馈了他们参与学校提供的就业教育和服务的情况，并对参与过的教育和服务项目进行了满意度评价。满意度最高的前三项依次为：个体职业辅导（4.92），团体职业辅导（4.85），就业相关政策咨询（4.79）。</w:t>
      </w:r>
    </w:p>
    <w:p>
      <w:pPr>
        <w:jc w:val="center"/>
      </w:pPr>
      <w:r>
        <w:rPr>
          <w:rFonts w:hint="eastAsia"/>
        </w:rPr>
        <w:drawing>
          <wp:inline distT="0" distB="0" distL="0" distR="0">
            <wp:extent cx="5791200" cy="8305800"/>
            <wp:effectExtent l="19050" t="0" r="19050" b="0"/>
            <wp:docPr id="4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59"/>
        <w:spacing w:before="156" w:after="312"/>
      </w:pPr>
      <w:r>
        <w:rPr>
          <w:rFonts w:hint="eastAsia"/>
        </w:rPr>
        <w:t>专科生就业教育及服务的满意度</w:t>
      </w:r>
    </w:p>
    <w:p>
      <w:pPr>
        <w:pStyle w:val="53"/>
        <w:spacing w:before="312" w:after="156"/>
      </w:pPr>
      <w:r>
        <w:rPr>
          <w:rFonts w:hint="eastAsia"/>
        </w:rPr>
        <w:t>专科生就业教育及服务的参与情况及满意度评价</w:t>
      </w:r>
    </w:p>
    <w:tbl>
      <w:tblPr>
        <w:tblStyle w:val="33"/>
        <w:tblW w:w="10219" w:type="dxa"/>
        <w:jc w:val="center"/>
        <w:tblInd w:w="0" w:type="dxa"/>
        <w:tblLayout w:type="fixed"/>
        <w:tblCellMar>
          <w:top w:w="0" w:type="dxa"/>
          <w:left w:w="108" w:type="dxa"/>
          <w:bottom w:w="0" w:type="dxa"/>
          <w:right w:w="108" w:type="dxa"/>
        </w:tblCellMar>
      </w:tblPr>
      <w:tblGrid>
        <w:gridCol w:w="2157"/>
        <w:gridCol w:w="531"/>
        <w:gridCol w:w="869"/>
        <w:gridCol w:w="1134"/>
        <w:gridCol w:w="554"/>
        <w:gridCol w:w="584"/>
        <w:gridCol w:w="709"/>
        <w:gridCol w:w="819"/>
        <w:gridCol w:w="584"/>
        <w:gridCol w:w="806"/>
        <w:gridCol w:w="709"/>
        <w:gridCol w:w="763"/>
      </w:tblGrid>
      <w:tr>
        <w:tblPrEx>
          <w:tblLayout w:type="fixed"/>
          <w:tblCellMar>
            <w:top w:w="0" w:type="dxa"/>
            <w:left w:w="108" w:type="dxa"/>
            <w:bottom w:w="0" w:type="dxa"/>
            <w:right w:w="108" w:type="dxa"/>
          </w:tblCellMar>
        </w:tblPrEx>
        <w:trPr>
          <w:trHeight w:val="270" w:hRule="atLeast"/>
          <w:jc w:val="center"/>
        </w:trPr>
        <w:tc>
          <w:tcPr>
            <w:tcW w:w="2157"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531"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200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81"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157"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531" w:type="dxa"/>
            <w:vMerge w:val="continue"/>
            <w:tcBorders>
              <w:left w:val="dotted" w:color="00B050" w:sz="8" w:space="0"/>
              <w:bottom w:val="single" w:color="00B050" w:sz="8" w:space="0"/>
              <w:right w:val="dotted" w:color="00B050" w:sz="8" w:space="0"/>
            </w:tcBorders>
            <w:vAlign w:val="center"/>
          </w:tcPr>
          <w:p>
            <w:pPr>
              <w:pStyle w:val="52"/>
              <w:jc w:val="center"/>
            </w:pP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不满意</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很不满意</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校园招聘会/宣讲会</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54.8</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45.2</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4.47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0.62</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52.9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41.2</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就业信息服务</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54.8</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45.2</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35.3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职业测评</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32.3</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67.7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0.48</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70.0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就业指导课程</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87.1</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12.9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63.0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就业指导讲座、工作坊与活动</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65.0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团体职业辅导</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41.9</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58.1</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4.85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0.38</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84.6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个体职业辅导</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4.92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0.29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91.7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困难帮扶</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77.4</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4.71</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71.4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28.6</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学校就业推荐</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48.4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51.6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66.7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学院就业推荐</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48.4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51.6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0.46</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73.3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26.7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就业实习/实践</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58.1</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41.9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77.8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15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就业相关政策咨询</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45.2</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54.8</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0.43</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78.6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pPr>
        <w:pStyle w:val="37"/>
        <w:ind w:firstLine="0" w:firstLineChars="0"/>
      </w:pPr>
      <w:r>
        <w:rPr>
          <w:rFonts w:hint="eastAsia"/>
          <w:sz w:val="20"/>
          <w:szCs w:val="20"/>
        </w:rPr>
        <w:t>注：得分5=很满意，4=满意，3=不好说，2=不满意，1=很不满意</w:t>
      </w:r>
    </w:p>
    <w:p>
      <w:pPr>
        <w:pStyle w:val="67"/>
      </w:pPr>
      <w:bookmarkStart w:id="85" w:name="_Toc470167363"/>
      <w:r>
        <w:rPr>
          <w:rFonts w:hint="eastAsia"/>
        </w:rPr>
        <w:t>4、对创业教育及服务的评价</w:t>
      </w:r>
      <w:bookmarkEnd w:id="85"/>
    </w:p>
    <w:p>
      <w:pPr>
        <w:pStyle w:val="70"/>
      </w:pPr>
      <w:r>
        <w:rPr>
          <w:rFonts w:hint="eastAsia"/>
        </w:rPr>
        <w:t>（1）参与情况</w:t>
      </w:r>
    </w:p>
    <w:p>
      <w:pPr>
        <w:pStyle w:val="37"/>
        <w:ind w:firstLine="480"/>
      </w:pPr>
      <w:r>
        <w:rPr>
          <w:rFonts w:hint="eastAsia"/>
        </w:rPr>
        <w:t>对于学校的创业教育及服务，参与比例最高的前三项依次为创业相关讲座（51.6%），创业课程（35.5%），创业类学生社团活动（29.0%）。</w:t>
      </w:r>
    </w:p>
    <w:p>
      <w:pPr>
        <w:jc w:val="center"/>
      </w:pPr>
      <w:r>
        <w:rPr>
          <w:rFonts w:hint="eastAsia"/>
        </w:rPr>
        <w:drawing>
          <wp:inline distT="0" distB="0" distL="0" distR="0">
            <wp:extent cx="6076950" cy="3077210"/>
            <wp:effectExtent l="19050" t="0" r="19050" b="8890"/>
            <wp:docPr id="4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59"/>
        <w:spacing w:before="156" w:after="312"/>
      </w:pPr>
      <w:r>
        <w:rPr>
          <w:rFonts w:hint="eastAsia"/>
        </w:rPr>
        <w:t>专科生创业教育及服务的参与情况</w:t>
      </w:r>
    </w:p>
    <w:p>
      <w:pPr>
        <w:pStyle w:val="70"/>
      </w:pPr>
      <w:r>
        <w:rPr>
          <w:rFonts w:hint="eastAsia"/>
        </w:rPr>
        <w:t>（2）满意程度</w:t>
      </w:r>
    </w:p>
    <w:p>
      <w:pPr>
        <w:pStyle w:val="37"/>
        <w:ind w:firstLine="480"/>
      </w:pPr>
      <w:r>
        <w:rPr>
          <w:rFonts w:hint="eastAsia"/>
        </w:rPr>
        <w:t>专科生针对他们参与过的创业教育和服务项目进行了满意度评价。满意度最高的前三项依次为：参观创业企业（5.00）、创业计划大赛（5.00），创业类学生社团活动（4.89）。</w:t>
      </w:r>
    </w:p>
    <w:p>
      <w:pPr>
        <w:jc w:val="center"/>
      </w:pPr>
      <w:r>
        <w:rPr>
          <w:rFonts w:hint="eastAsia"/>
        </w:rPr>
        <w:drawing>
          <wp:inline distT="0" distB="0" distL="0" distR="0">
            <wp:extent cx="6124575" cy="3077210"/>
            <wp:effectExtent l="19050" t="0" r="9525" b="8890"/>
            <wp:docPr id="4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59"/>
        <w:spacing w:before="156" w:after="312"/>
      </w:pPr>
      <w:r>
        <w:rPr>
          <w:rFonts w:hint="eastAsia"/>
        </w:rPr>
        <w:t>专科生创业教育及服务的满意度</w:t>
      </w:r>
    </w:p>
    <w:p>
      <w:pPr>
        <w:pStyle w:val="53"/>
        <w:spacing w:before="312" w:after="156"/>
      </w:pPr>
      <w:r>
        <w:rPr>
          <w:rFonts w:hint="eastAsia"/>
        </w:rPr>
        <w:t>专科生创业教育及服务活动中的参与情况及满意程度</w:t>
      </w:r>
    </w:p>
    <w:tbl>
      <w:tblPr>
        <w:tblStyle w:val="33"/>
        <w:tblW w:w="10786" w:type="dxa"/>
        <w:jc w:val="center"/>
        <w:tblInd w:w="0" w:type="dxa"/>
        <w:tblLayout w:type="fixed"/>
        <w:tblCellMar>
          <w:top w:w="0" w:type="dxa"/>
          <w:left w:w="108" w:type="dxa"/>
          <w:bottom w:w="0" w:type="dxa"/>
          <w:right w:w="108" w:type="dxa"/>
        </w:tblCellMar>
      </w:tblPr>
      <w:tblGrid>
        <w:gridCol w:w="2724"/>
        <w:gridCol w:w="531"/>
        <w:gridCol w:w="869"/>
        <w:gridCol w:w="1134"/>
        <w:gridCol w:w="554"/>
        <w:gridCol w:w="584"/>
        <w:gridCol w:w="709"/>
        <w:gridCol w:w="819"/>
        <w:gridCol w:w="584"/>
        <w:gridCol w:w="806"/>
        <w:gridCol w:w="709"/>
        <w:gridCol w:w="763"/>
      </w:tblGrid>
      <w:tr>
        <w:tblPrEx>
          <w:tblLayout w:type="fixed"/>
          <w:tblCellMar>
            <w:top w:w="0" w:type="dxa"/>
            <w:left w:w="108" w:type="dxa"/>
            <w:bottom w:w="0" w:type="dxa"/>
            <w:right w:w="108" w:type="dxa"/>
          </w:tblCellMar>
        </w:tblPrEx>
        <w:trPr>
          <w:trHeight w:val="270" w:hRule="atLeast"/>
          <w:jc w:val="center"/>
        </w:trPr>
        <w:tc>
          <w:tcPr>
            <w:tcW w:w="2724"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531"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200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81"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724"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531" w:type="dxa"/>
            <w:vMerge w:val="continue"/>
            <w:tcBorders>
              <w:left w:val="dotted" w:color="00B050" w:sz="8" w:space="0"/>
              <w:bottom w:val="single" w:color="00B050" w:sz="8" w:space="0"/>
              <w:right w:val="dotted" w:color="00B050" w:sz="8" w:space="0"/>
            </w:tcBorders>
            <w:vAlign w:val="center"/>
          </w:tcPr>
          <w:p>
            <w:pPr>
              <w:pStyle w:val="52"/>
              <w:jc w:val="center"/>
            </w:pP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不满意</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很不满意</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创业课程</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4.73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0.47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72.7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创业相关讲座</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51.6</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48.4</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0.62</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创业类学生社团活动</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29.0</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71.0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4.89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0.33</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88.9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11.1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创业计划大赛</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12.9</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87.1</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100.0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参观创业企业</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16.1</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83.9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100.0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与创业者交流</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77.4</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4.88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0.35</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87.5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12.5</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72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参与创业企业的实习项目</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19.4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80.6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1.21</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66.7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16.7</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pPr>
        <w:pStyle w:val="37"/>
        <w:ind w:firstLine="0" w:firstLineChars="0"/>
      </w:pPr>
      <w:r>
        <w:rPr>
          <w:rFonts w:hint="eastAsia"/>
          <w:sz w:val="20"/>
          <w:szCs w:val="20"/>
        </w:rPr>
        <w:t>注：得分5=很满意，4=满意，3=不好说，2=不满意，1=很不满意</w:t>
      </w:r>
    </w:p>
    <w:p>
      <w:pPr>
        <w:pStyle w:val="67"/>
      </w:pPr>
      <w:bookmarkStart w:id="86" w:name="_Toc470167364"/>
      <w:r>
        <w:rPr>
          <w:rFonts w:hint="eastAsia"/>
        </w:rPr>
        <w:t>5、创业计划情况</w:t>
      </w:r>
      <w:bookmarkEnd w:id="86"/>
    </w:p>
    <w:p>
      <w:pPr>
        <w:pStyle w:val="37"/>
        <w:ind w:firstLine="480"/>
      </w:pPr>
      <w:r>
        <w:rPr>
          <w:rFonts w:hint="eastAsia"/>
        </w:rPr>
        <w:t>对于专科生的创业计划，12.9%的专科生表示在上学期间已经开始创业，其中有0%的专科生表示会在毕业后停止创业，而12.9%则表示会在创业路上继续前进。</w:t>
      </w:r>
    </w:p>
    <w:p>
      <w:pPr>
        <w:pStyle w:val="37"/>
        <w:ind w:firstLine="480"/>
      </w:pPr>
      <w:r>
        <w:rPr>
          <w:rFonts w:hint="eastAsia"/>
        </w:rPr>
        <w:t>在上学期间没有创业的专科生中，12.9%的专科生表示会在毕业后马上开始创业，25.8%表示不会创业，48.4%打算工作积累一段时间再创业（平均时间4.33年）。</w:t>
      </w:r>
    </w:p>
    <w:p>
      <w:pPr>
        <w:jc w:val="center"/>
      </w:pPr>
      <w:r>
        <w:rPr>
          <w:rFonts w:hint="eastAsia"/>
        </w:rPr>
        <w:drawing>
          <wp:inline distT="0" distB="0" distL="0" distR="0">
            <wp:extent cx="6076950" cy="3077210"/>
            <wp:effectExtent l="19050" t="0" r="19050" b="8890"/>
            <wp:docPr id="4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59"/>
        <w:spacing w:before="156" w:after="312"/>
      </w:pPr>
      <w:r>
        <w:rPr>
          <w:rFonts w:hint="eastAsia"/>
        </w:rPr>
        <w:t>专科生创业计划情况</w:t>
      </w:r>
    </w:p>
    <w:p>
      <w:pPr>
        <w:pStyle w:val="53"/>
        <w:spacing w:before="312" w:after="156"/>
      </w:pPr>
      <w:r>
        <w:rPr>
          <w:rFonts w:hint="eastAsia"/>
        </w:rPr>
        <w:t>专科生创业计划情况</w:t>
      </w:r>
    </w:p>
    <w:tbl>
      <w:tblPr>
        <w:tblStyle w:val="33"/>
        <w:tblW w:w="542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441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441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上学期间未创业，毕业后也不打算创业</w:t>
            </w:r>
          </w:p>
        </w:tc>
        <w:tc>
          <w:tcPr>
            <w:tcW w:w="426"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25.8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上学期间未创业，毕业后打算马上创业</w:t>
            </w:r>
          </w:p>
        </w:tc>
        <w:tc>
          <w:tcPr>
            <w:tcW w:w="42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12.9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上学期间未创业，毕业后打算工作几年再创业</w:t>
            </w:r>
          </w:p>
        </w:tc>
        <w:tc>
          <w:tcPr>
            <w:tcW w:w="426" w:type="dxa"/>
            <w:shd w:val="clear" w:color="auto" w:fill="auto"/>
            <w:vAlign w:val="center"/>
          </w:tcPr>
          <w:p>
            <w:pPr>
              <w:pStyle w:val="52"/>
              <w:jc w:val="center"/>
              <w:rPr>
                <w:kern w:val="0"/>
              </w:rPr>
            </w:pPr>
            <w:r>
              <w:rPr>
                <w:kern w:val="0"/>
              </w:rPr>
              <w:t>15</w:t>
            </w:r>
          </w:p>
        </w:tc>
        <w:tc>
          <w:tcPr>
            <w:tcW w:w="584" w:type="dxa"/>
            <w:shd w:val="clear" w:color="auto" w:fill="auto"/>
            <w:vAlign w:val="center"/>
          </w:tcPr>
          <w:p>
            <w:pPr>
              <w:pStyle w:val="52"/>
              <w:jc w:val="center"/>
              <w:rPr>
                <w:kern w:val="0"/>
              </w:rPr>
            </w:pPr>
            <w:r>
              <w:rPr>
                <w:kern w:val="0"/>
              </w:rPr>
              <w:t>48.4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上学期间创业了，毕业后打算继续创业</w:t>
            </w:r>
          </w:p>
        </w:tc>
        <w:tc>
          <w:tcPr>
            <w:tcW w:w="42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12.9</w:t>
            </w:r>
          </w:p>
        </w:tc>
      </w:tr>
    </w:tbl>
    <w:p>
      <w:pPr>
        <w:pStyle w:val="37"/>
        <w:ind w:firstLine="0" w:firstLineChars="0"/>
      </w:pPr>
    </w:p>
    <w:p>
      <w:pPr>
        <w:pStyle w:val="67"/>
      </w:pPr>
      <w:bookmarkStart w:id="87" w:name="_Toc470167365"/>
      <w:r>
        <w:rPr>
          <w:rFonts w:hint="eastAsia"/>
        </w:rPr>
        <w:t>6、创业教育的收获</w:t>
      </w:r>
      <w:bookmarkEnd w:id="87"/>
    </w:p>
    <w:p>
      <w:pPr>
        <w:pStyle w:val="37"/>
        <w:ind w:firstLine="480"/>
      </w:pPr>
      <w:r>
        <w:rPr>
          <w:rFonts w:hint="eastAsia"/>
        </w:rPr>
        <w:t>对于创业教育的收获，专科生认为最主要的收获是了解了相关创业政策（29.0%），其次是了解了什么是大学生创业（25.8%）；6.5%的人表示在接受创业教育后没有什么收获。</w:t>
      </w:r>
    </w:p>
    <w:p>
      <w:pPr>
        <w:jc w:val="center"/>
      </w:pPr>
      <w:r>
        <w:rPr>
          <w:rFonts w:hint="eastAsia"/>
        </w:rPr>
        <w:drawing>
          <wp:inline distT="0" distB="0" distL="0" distR="0">
            <wp:extent cx="6076950" cy="3077210"/>
            <wp:effectExtent l="19050" t="0" r="19050" b="8890"/>
            <wp:docPr id="4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59"/>
        <w:spacing w:before="156" w:after="312"/>
      </w:pPr>
      <w:r>
        <w:rPr>
          <w:rFonts w:hint="eastAsia"/>
        </w:rPr>
        <w:t>专科生创业教育的收获</w:t>
      </w:r>
    </w:p>
    <w:p>
      <w:pPr>
        <w:pStyle w:val="53"/>
        <w:spacing w:before="312" w:after="156"/>
      </w:pPr>
      <w:r>
        <w:rPr>
          <w:rFonts w:hint="eastAsia"/>
        </w:rPr>
        <w:t>专科生创业教育的收获</w:t>
      </w:r>
    </w:p>
    <w:tbl>
      <w:tblPr>
        <w:tblStyle w:val="33"/>
        <w:tblW w:w="347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52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52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了解了什么是大学生创业</w:t>
            </w:r>
          </w:p>
        </w:tc>
        <w:tc>
          <w:tcPr>
            <w:tcW w:w="368"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25.8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启发了我的创业意识</w:t>
            </w:r>
          </w:p>
        </w:tc>
        <w:tc>
          <w:tcPr>
            <w:tcW w:w="368"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16.1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激发了我的创业热情</w:t>
            </w:r>
          </w:p>
        </w:tc>
        <w:tc>
          <w:tcPr>
            <w:tcW w:w="368" w:type="dxa"/>
            <w:shd w:val="clear" w:color="auto" w:fill="auto"/>
            <w:vAlign w:val="center"/>
          </w:tcPr>
          <w:p>
            <w:pPr>
              <w:pStyle w:val="52"/>
              <w:jc w:val="center"/>
              <w:rPr>
                <w:kern w:val="0"/>
              </w:rPr>
            </w:pPr>
            <w:r>
              <w:rPr>
                <w:kern w:val="0"/>
              </w:rPr>
              <w:t>6</w:t>
            </w:r>
          </w:p>
        </w:tc>
        <w:tc>
          <w:tcPr>
            <w:tcW w:w="584" w:type="dxa"/>
            <w:shd w:val="clear" w:color="auto" w:fill="auto"/>
            <w:vAlign w:val="center"/>
          </w:tcPr>
          <w:p>
            <w:pPr>
              <w:pStyle w:val="52"/>
              <w:jc w:val="center"/>
              <w:rPr>
                <w:kern w:val="0"/>
              </w:rPr>
            </w:pPr>
            <w:r>
              <w:rPr>
                <w:kern w:val="0"/>
              </w:rPr>
              <w:t>19.4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明确了我的创业计划</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3.2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526" w:type="dxa"/>
            <w:shd w:val="clear" w:color="auto" w:fill="auto"/>
            <w:vAlign w:val="center"/>
          </w:tcPr>
          <w:p>
            <w:pPr>
              <w:pStyle w:val="52"/>
              <w:rPr>
                <w:kern w:val="0"/>
              </w:rPr>
            </w:pPr>
            <w:r>
              <w:rPr>
                <w:rFonts w:hint="eastAsia"/>
                <w:kern w:val="0"/>
              </w:rPr>
              <w:t>了解了相关创业政策</w:t>
            </w:r>
          </w:p>
        </w:tc>
        <w:tc>
          <w:tcPr>
            <w:tcW w:w="368"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29.0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没有任何收获</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6.5</w:t>
            </w:r>
          </w:p>
        </w:tc>
      </w:tr>
    </w:tbl>
    <w:p>
      <w:pPr>
        <w:pStyle w:val="37"/>
        <w:ind w:firstLine="0" w:firstLineChars="0"/>
      </w:pPr>
    </w:p>
    <w:p>
      <w:pPr>
        <w:pStyle w:val="44"/>
        <w:spacing w:before="156"/>
      </w:pPr>
      <w:bookmarkStart w:id="88" w:name="_Toc470167366"/>
      <w:r>
        <w:rPr>
          <w:rFonts w:hint="eastAsia"/>
        </w:rPr>
        <w:t>（二）专科生就业结果</w:t>
      </w:r>
      <w:bookmarkEnd w:id="88"/>
    </w:p>
    <w:p>
      <w:pPr>
        <w:pStyle w:val="67"/>
      </w:pPr>
      <w:bookmarkStart w:id="89" w:name="_Toc470167367"/>
      <w:r>
        <w:rPr>
          <w:rFonts w:hint="eastAsia"/>
        </w:rPr>
        <w:t>1、就业满意度</w:t>
      </w:r>
      <w:bookmarkEnd w:id="89"/>
    </w:p>
    <w:p>
      <w:pPr>
        <w:pStyle w:val="37"/>
        <w:ind w:firstLine="480"/>
      </w:pPr>
      <w:r>
        <w:rPr>
          <w:rFonts w:hint="eastAsia"/>
        </w:rPr>
        <w:t>在就业满意度调查方面，75.1%的专科生表示“很满意”或“满意”，25.0%认为“不好说”。</w:t>
      </w:r>
    </w:p>
    <w:p>
      <w:pPr>
        <w:jc w:val="center"/>
      </w:pPr>
      <w:r>
        <w:rPr>
          <w:rFonts w:hint="eastAsia"/>
        </w:rPr>
        <w:drawing>
          <wp:inline distT="0" distB="0" distL="0" distR="0">
            <wp:extent cx="6076950" cy="3077210"/>
            <wp:effectExtent l="19050" t="0" r="19050" b="8890"/>
            <wp:docPr id="4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59"/>
        <w:spacing w:before="156" w:after="312"/>
      </w:pPr>
      <w:r>
        <w:rPr>
          <w:rFonts w:hint="eastAsia"/>
        </w:rPr>
        <w:t>专科生就业满意度</w:t>
      </w:r>
    </w:p>
    <w:p>
      <w:pPr>
        <w:pStyle w:val="53"/>
        <w:spacing w:before="312" w:after="156"/>
      </w:pPr>
      <w:r>
        <w:rPr>
          <w:rFonts w:hint="eastAsia"/>
        </w:rPr>
        <w:t>专科生就业满意度</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3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9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4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25.0</w:t>
            </w:r>
          </w:p>
        </w:tc>
      </w:tr>
    </w:tbl>
    <w:p>
      <w:pPr>
        <w:pStyle w:val="37"/>
        <w:ind w:firstLine="0" w:firstLineChars="0"/>
      </w:pPr>
    </w:p>
    <w:p>
      <w:pPr>
        <w:pStyle w:val="67"/>
      </w:pPr>
      <w:bookmarkStart w:id="90" w:name="_Toc470167368"/>
      <w:r>
        <w:rPr>
          <w:rFonts w:hint="eastAsia"/>
        </w:rPr>
        <w:t>2、就业地区</w:t>
      </w:r>
      <w:bookmarkEnd w:id="90"/>
    </w:p>
    <w:p>
      <w:pPr>
        <w:pStyle w:val="70"/>
      </w:pPr>
      <w:r>
        <w:rPr>
          <w:rFonts w:hint="eastAsia"/>
        </w:rPr>
        <w:t>（1）总体情况</w:t>
      </w:r>
    </w:p>
    <w:p>
      <w:pPr>
        <w:pStyle w:val="37"/>
        <w:ind w:firstLine="480"/>
      </w:pPr>
      <w:r>
        <w:rPr>
          <w:rFonts w:hint="eastAsia"/>
        </w:rPr>
        <w:t>就不同就业地区而言，专科生期望首选和最终落实在京就业的比例均为100.0。</w:t>
      </w:r>
    </w:p>
    <w:p>
      <w:pPr>
        <w:pStyle w:val="53"/>
        <w:spacing w:before="312" w:after="156"/>
      </w:pPr>
      <w:r>
        <w:rPr>
          <w:rFonts w:hint="eastAsia"/>
        </w:rPr>
        <w:t>期望首选与最终落实就业地区（1）（%）</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北京就业</w:t>
            </w:r>
          </w:p>
        </w:tc>
        <w:tc>
          <w:tcPr>
            <w:tcW w:w="1134" w:type="dxa"/>
            <w:vAlign w:val="center"/>
          </w:tcPr>
          <w:p>
            <w:pPr>
              <w:widowControl/>
              <w:jc w:val="center"/>
              <w:rPr>
                <w:color w:val="000000"/>
                <w:kern w:val="0"/>
                <w:szCs w:val="21"/>
              </w:rPr>
            </w:pPr>
            <w:r>
              <w:rPr>
                <w:color w:val="000000"/>
                <w:kern w:val="0"/>
                <w:szCs w:val="21"/>
              </w:rPr>
              <w:t>100.0</w:t>
            </w:r>
          </w:p>
        </w:tc>
        <w:tc>
          <w:tcPr>
            <w:tcW w:w="1238" w:type="dxa"/>
            <w:vAlign w:val="center"/>
          </w:tcPr>
          <w:p>
            <w:pPr>
              <w:widowControl/>
              <w:jc w:val="center"/>
              <w:rPr>
                <w:color w:val="000000"/>
                <w:kern w:val="0"/>
                <w:szCs w:val="21"/>
              </w:rPr>
            </w:pPr>
            <w:r>
              <w:rPr>
                <w:color w:val="000000"/>
                <w:kern w:val="0"/>
                <w:szCs w:val="21"/>
              </w:rPr>
              <w:t>100.0</w:t>
            </w:r>
          </w:p>
        </w:tc>
      </w:tr>
    </w:tbl>
    <w:p/>
    <w:p>
      <w:pPr>
        <w:pStyle w:val="70"/>
      </w:pPr>
      <w:r>
        <w:rPr>
          <w:rFonts w:hint="eastAsia"/>
        </w:rPr>
        <w:t>（2）不同生源地专科生就业地区</w:t>
      </w:r>
    </w:p>
    <w:p>
      <w:pPr>
        <w:pStyle w:val="37"/>
        <w:ind w:firstLine="480"/>
      </w:pPr>
      <w:r>
        <w:rPr>
          <w:rFonts w:hint="eastAsia"/>
        </w:rPr>
        <w:t>就不同生源地区而言，北京生源的专科生期望首选和最终落实在京就业的比例均为100.0%；京外生源的专科生期望首选和最终落实在京就业的比例也均为100.0%。</w:t>
      </w:r>
    </w:p>
    <w:p>
      <w:pPr>
        <w:pStyle w:val="53"/>
        <w:spacing w:before="312" w:after="156"/>
      </w:pPr>
      <w:r>
        <w:rPr>
          <w:rFonts w:hint="eastAsia"/>
        </w:rPr>
        <w:t>不同生源地区专科生期望首选与最终落实就业地区（1）</w:t>
      </w:r>
    </w:p>
    <w:tbl>
      <w:tblPr>
        <w:tblStyle w:val="33"/>
        <w:tblW w:w="676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056"/>
        <w:gridCol w:w="426"/>
        <w:gridCol w:w="105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05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224" w:type="dxa"/>
            <w:gridSpan w:val="4"/>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05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北京就业</w:t>
            </w:r>
          </w:p>
        </w:tc>
        <w:tc>
          <w:tcPr>
            <w:tcW w:w="1056" w:type="dxa"/>
            <w:vAlign w:val="center"/>
          </w:tcPr>
          <w:p>
            <w:pPr>
              <w:pStyle w:val="52"/>
              <w:jc w:val="center"/>
              <w:rPr>
                <w:szCs w:val="21"/>
              </w:rPr>
            </w:pPr>
            <w:r>
              <w:rPr>
                <w:rFonts w:hint="eastAsia"/>
                <w:szCs w:val="21"/>
              </w:rPr>
              <w:t>东部就业</w:t>
            </w:r>
          </w:p>
        </w:tc>
        <w:tc>
          <w:tcPr>
            <w:tcW w:w="1056" w:type="dxa"/>
            <w:vAlign w:val="center"/>
          </w:tcPr>
          <w:p>
            <w:pPr>
              <w:pStyle w:val="52"/>
              <w:jc w:val="center"/>
              <w:rPr>
                <w:szCs w:val="21"/>
              </w:rPr>
            </w:pPr>
            <w:r>
              <w:rPr>
                <w:rFonts w:hint="eastAsia"/>
                <w:szCs w:val="21"/>
              </w:rPr>
              <w:t>中部就业</w:t>
            </w:r>
          </w:p>
        </w:tc>
        <w:tc>
          <w:tcPr>
            <w:tcW w:w="1056" w:type="dxa"/>
            <w:shd w:val="clear" w:color="auto" w:fill="auto"/>
            <w:vAlign w:val="center"/>
          </w:tcPr>
          <w:p>
            <w:pPr>
              <w:pStyle w:val="52"/>
              <w:jc w:val="center"/>
              <w:rPr>
                <w:szCs w:val="20"/>
              </w:rPr>
            </w:pPr>
            <w:r>
              <w:rPr>
                <w:rFonts w:hint="eastAsia"/>
                <w:szCs w:val="21"/>
              </w:rPr>
              <w:t>西部就业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056" w:type="dxa"/>
            <w:shd w:val="clear" w:color="auto" w:fill="auto"/>
            <w:vAlign w:val="center"/>
          </w:tcPr>
          <w:p>
            <w:pPr>
              <w:pStyle w:val="52"/>
              <w:rPr>
                <w:szCs w:val="20"/>
              </w:rPr>
            </w:pPr>
            <w:r>
              <w:rPr>
                <w:rFonts w:hint="eastAsia"/>
                <w:szCs w:val="21"/>
              </w:rPr>
              <w:t>北京生源</w:t>
            </w:r>
          </w:p>
        </w:tc>
        <w:tc>
          <w:tcPr>
            <w:tcW w:w="426" w:type="dxa"/>
            <w:shd w:val="clear" w:color="auto" w:fill="auto"/>
            <w:vAlign w:val="center"/>
          </w:tcPr>
          <w:p>
            <w:pPr>
              <w:pStyle w:val="52"/>
              <w:jc w:val="center"/>
              <w:rPr>
                <w:szCs w:val="20"/>
              </w:rPr>
            </w:pPr>
            <w:r>
              <w:rPr>
                <w:szCs w:val="21"/>
              </w:rPr>
              <w:t>1</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056" w:type="dxa"/>
            <w:shd w:val="clear" w:color="auto" w:fill="auto"/>
            <w:vAlign w:val="center"/>
          </w:tcPr>
          <w:p>
            <w:pPr>
              <w:pStyle w:val="52"/>
              <w:rPr>
                <w:szCs w:val="21"/>
              </w:rPr>
            </w:pPr>
            <w:r>
              <w:rPr>
                <w:rFonts w:hint="eastAsia"/>
                <w:szCs w:val="21"/>
              </w:rPr>
              <w:t>北京生源</w:t>
            </w:r>
          </w:p>
        </w:tc>
        <w:tc>
          <w:tcPr>
            <w:tcW w:w="426" w:type="dxa"/>
            <w:shd w:val="clear" w:color="auto" w:fill="auto"/>
            <w:vAlign w:val="center"/>
          </w:tcPr>
          <w:p>
            <w:pPr>
              <w:pStyle w:val="52"/>
              <w:jc w:val="center"/>
              <w:rPr>
                <w:szCs w:val="21"/>
              </w:rPr>
            </w:pPr>
            <w:r>
              <w:rPr>
                <w:szCs w:val="21"/>
              </w:rPr>
              <w:t>1</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bl>
    <w:p>
      <w:pPr>
        <w:pStyle w:val="53"/>
        <w:spacing w:before="312" w:after="156"/>
      </w:pPr>
      <w:r>
        <w:rPr>
          <w:rFonts w:hint="eastAsia"/>
        </w:rPr>
        <w:t>不同生源地区专科生期望首选与最终落实就业地区（2）</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763"/>
        <w:gridCol w:w="1059"/>
        <w:gridCol w:w="426"/>
        <w:gridCol w:w="818"/>
        <w:gridCol w:w="756"/>
        <w:gridCol w:w="904"/>
        <w:gridCol w:w="904"/>
        <w:gridCol w:w="904"/>
        <w:gridCol w:w="904"/>
        <w:gridCol w:w="904"/>
        <w:gridCol w:w="756"/>
        <w:gridCol w:w="7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763" w:type="dxa"/>
            <w:vMerge w:val="restart"/>
            <w:tcBorders>
              <w:right w:val="dotted" w:color="00B050" w:sz="8" w:space="0"/>
            </w:tcBorders>
            <w:shd w:val="clear" w:color="auto" w:fill="auto"/>
            <w:vAlign w:val="center"/>
          </w:tcPr>
          <w:p>
            <w:pPr>
              <w:pStyle w:val="52"/>
              <w:ind w:firstLine="480"/>
              <w:jc w:val="center"/>
              <w:rPr>
                <w:szCs w:val="20"/>
              </w:rPr>
            </w:pPr>
          </w:p>
        </w:tc>
        <w:tc>
          <w:tcPr>
            <w:tcW w:w="1059"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7606" w:type="dxa"/>
            <w:gridSpan w:val="9"/>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763" w:type="dxa"/>
            <w:vMerge w:val="continue"/>
            <w:tcBorders>
              <w:right w:val="dotted" w:color="00B050" w:sz="8" w:space="0"/>
            </w:tcBorders>
            <w:shd w:val="clear" w:color="auto" w:fill="auto"/>
            <w:vAlign w:val="center"/>
          </w:tcPr>
          <w:p>
            <w:pPr>
              <w:pStyle w:val="52"/>
              <w:jc w:val="center"/>
              <w:rPr>
                <w:szCs w:val="20"/>
              </w:rPr>
            </w:pPr>
          </w:p>
        </w:tc>
        <w:tc>
          <w:tcPr>
            <w:tcW w:w="1059"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818" w:type="dxa"/>
            <w:vAlign w:val="center"/>
          </w:tcPr>
          <w:p>
            <w:pPr>
              <w:pStyle w:val="52"/>
              <w:jc w:val="center"/>
              <w:rPr>
                <w:szCs w:val="21"/>
              </w:rPr>
            </w:pPr>
            <w:r>
              <w:rPr>
                <w:rFonts w:hint="eastAsia"/>
                <w:szCs w:val="21"/>
              </w:rPr>
              <w:t>北京地区</w:t>
            </w:r>
          </w:p>
        </w:tc>
        <w:tc>
          <w:tcPr>
            <w:tcW w:w="756" w:type="dxa"/>
            <w:vAlign w:val="center"/>
          </w:tcPr>
          <w:p>
            <w:pPr>
              <w:pStyle w:val="52"/>
              <w:jc w:val="center"/>
              <w:rPr>
                <w:szCs w:val="21"/>
              </w:rPr>
            </w:pPr>
            <w:r>
              <w:rPr>
                <w:rFonts w:hint="eastAsia"/>
                <w:szCs w:val="21"/>
              </w:rPr>
              <w:t>东北经济区</w:t>
            </w:r>
          </w:p>
        </w:tc>
        <w:tc>
          <w:tcPr>
            <w:tcW w:w="904" w:type="dxa"/>
            <w:vAlign w:val="center"/>
          </w:tcPr>
          <w:p>
            <w:pPr>
              <w:pStyle w:val="52"/>
              <w:jc w:val="center"/>
              <w:rPr>
                <w:szCs w:val="21"/>
              </w:rPr>
            </w:pPr>
            <w:r>
              <w:rPr>
                <w:rFonts w:hint="eastAsia"/>
                <w:szCs w:val="21"/>
              </w:rPr>
              <w:t>北部沿海经济区</w:t>
            </w:r>
          </w:p>
        </w:tc>
        <w:tc>
          <w:tcPr>
            <w:tcW w:w="904" w:type="dxa"/>
            <w:vAlign w:val="center"/>
          </w:tcPr>
          <w:p>
            <w:pPr>
              <w:pStyle w:val="52"/>
              <w:jc w:val="center"/>
              <w:rPr>
                <w:szCs w:val="21"/>
              </w:rPr>
            </w:pPr>
            <w:r>
              <w:rPr>
                <w:rFonts w:hint="eastAsia"/>
                <w:szCs w:val="21"/>
              </w:rPr>
              <w:t>东部沿海经济区</w:t>
            </w:r>
          </w:p>
        </w:tc>
        <w:tc>
          <w:tcPr>
            <w:tcW w:w="904" w:type="dxa"/>
            <w:vAlign w:val="center"/>
          </w:tcPr>
          <w:p>
            <w:pPr>
              <w:pStyle w:val="52"/>
              <w:jc w:val="center"/>
              <w:rPr>
                <w:szCs w:val="21"/>
              </w:rPr>
            </w:pPr>
            <w:r>
              <w:rPr>
                <w:rFonts w:hint="eastAsia"/>
                <w:szCs w:val="21"/>
              </w:rPr>
              <w:t>南部沿海经济区</w:t>
            </w:r>
          </w:p>
        </w:tc>
        <w:tc>
          <w:tcPr>
            <w:tcW w:w="904" w:type="dxa"/>
            <w:vAlign w:val="center"/>
          </w:tcPr>
          <w:p>
            <w:pPr>
              <w:pStyle w:val="52"/>
              <w:jc w:val="center"/>
              <w:rPr>
                <w:szCs w:val="21"/>
              </w:rPr>
            </w:pPr>
            <w:r>
              <w:rPr>
                <w:rFonts w:hint="eastAsia"/>
                <w:szCs w:val="21"/>
              </w:rPr>
              <w:t>黄河中游经济区</w:t>
            </w:r>
          </w:p>
        </w:tc>
        <w:tc>
          <w:tcPr>
            <w:tcW w:w="904" w:type="dxa"/>
            <w:vAlign w:val="center"/>
          </w:tcPr>
          <w:p>
            <w:pPr>
              <w:pStyle w:val="52"/>
              <w:jc w:val="center"/>
              <w:rPr>
                <w:szCs w:val="21"/>
              </w:rPr>
            </w:pPr>
            <w:r>
              <w:rPr>
                <w:rFonts w:hint="eastAsia"/>
                <w:szCs w:val="21"/>
              </w:rPr>
              <w:t>长江中游经济区</w:t>
            </w:r>
          </w:p>
        </w:tc>
        <w:tc>
          <w:tcPr>
            <w:tcW w:w="756" w:type="dxa"/>
            <w:vAlign w:val="center"/>
          </w:tcPr>
          <w:p>
            <w:pPr>
              <w:pStyle w:val="52"/>
              <w:jc w:val="center"/>
              <w:rPr>
                <w:szCs w:val="21"/>
              </w:rPr>
            </w:pPr>
            <w:r>
              <w:rPr>
                <w:rFonts w:hint="eastAsia"/>
                <w:szCs w:val="21"/>
              </w:rPr>
              <w:t>西南经济区</w:t>
            </w:r>
          </w:p>
        </w:tc>
        <w:tc>
          <w:tcPr>
            <w:tcW w:w="756" w:type="dxa"/>
            <w:shd w:val="clear" w:color="auto" w:fill="auto"/>
            <w:vAlign w:val="center"/>
          </w:tcPr>
          <w:p>
            <w:pPr>
              <w:pStyle w:val="52"/>
              <w:jc w:val="center"/>
              <w:rPr>
                <w:szCs w:val="20"/>
              </w:rPr>
            </w:pPr>
            <w:r>
              <w:rPr>
                <w:rFonts w:hint="eastAsia"/>
                <w:szCs w:val="21"/>
              </w:rPr>
              <w:t>西北经济区</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63" w:type="dxa"/>
            <w:vMerge w:val="restart"/>
            <w:vAlign w:val="center"/>
          </w:tcPr>
          <w:p>
            <w:pPr>
              <w:pStyle w:val="52"/>
              <w:rPr>
                <w:szCs w:val="20"/>
              </w:rPr>
            </w:pPr>
            <w:r>
              <w:rPr>
                <w:rFonts w:hint="eastAsia"/>
                <w:szCs w:val="20"/>
              </w:rPr>
              <w:t>期望首选</w:t>
            </w:r>
          </w:p>
        </w:tc>
        <w:tc>
          <w:tcPr>
            <w:tcW w:w="1059" w:type="dxa"/>
            <w:shd w:val="clear" w:color="auto" w:fill="auto"/>
            <w:vAlign w:val="center"/>
          </w:tcPr>
          <w:p>
            <w:pPr>
              <w:pStyle w:val="52"/>
              <w:rPr>
                <w:szCs w:val="20"/>
              </w:rPr>
            </w:pPr>
            <w:r>
              <w:rPr>
                <w:rFonts w:hint="eastAsia"/>
                <w:szCs w:val="21"/>
              </w:rPr>
              <w:t>北京生源</w:t>
            </w:r>
          </w:p>
        </w:tc>
        <w:tc>
          <w:tcPr>
            <w:tcW w:w="426" w:type="dxa"/>
            <w:shd w:val="clear" w:color="auto" w:fill="auto"/>
            <w:vAlign w:val="center"/>
          </w:tcPr>
          <w:p>
            <w:pPr>
              <w:pStyle w:val="52"/>
              <w:jc w:val="center"/>
              <w:rPr>
                <w:szCs w:val="20"/>
              </w:rPr>
            </w:pPr>
            <w:r>
              <w:rPr>
                <w:szCs w:val="21"/>
              </w:rPr>
              <w:t>1</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63" w:type="dxa"/>
            <w:vMerge w:val="continue"/>
            <w:vAlign w:val="center"/>
          </w:tcPr>
          <w:p>
            <w:pPr>
              <w:pStyle w:val="52"/>
              <w:rPr>
                <w:szCs w:val="20"/>
              </w:rPr>
            </w:pPr>
          </w:p>
        </w:tc>
        <w:tc>
          <w:tcPr>
            <w:tcW w:w="1059"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15</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63" w:type="dxa"/>
            <w:vMerge w:val="restart"/>
            <w:vAlign w:val="center"/>
          </w:tcPr>
          <w:p>
            <w:pPr>
              <w:pStyle w:val="52"/>
              <w:rPr>
                <w:szCs w:val="20"/>
              </w:rPr>
            </w:pPr>
            <w:r>
              <w:rPr>
                <w:rFonts w:hint="eastAsia"/>
                <w:szCs w:val="20"/>
              </w:rPr>
              <w:t>最终落实</w:t>
            </w:r>
          </w:p>
        </w:tc>
        <w:tc>
          <w:tcPr>
            <w:tcW w:w="1059" w:type="dxa"/>
            <w:shd w:val="clear" w:color="auto" w:fill="auto"/>
            <w:vAlign w:val="center"/>
          </w:tcPr>
          <w:p>
            <w:pPr>
              <w:pStyle w:val="52"/>
              <w:rPr>
                <w:szCs w:val="21"/>
              </w:rPr>
            </w:pPr>
            <w:r>
              <w:rPr>
                <w:rFonts w:hint="eastAsia"/>
                <w:szCs w:val="21"/>
              </w:rPr>
              <w:t>北京生源</w:t>
            </w:r>
          </w:p>
        </w:tc>
        <w:tc>
          <w:tcPr>
            <w:tcW w:w="426" w:type="dxa"/>
            <w:shd w:val="clear" w:color="auto" w:fill="auto"/>
            <w:vAlign w:val="center"/>
          </w:tcPr>
          <w:p>
            <w:pPr>
              <w:pStyle w:val="52"/>
              <w:jc w:val="center"/>
              <w:rPr>
                <w:szCs w:val="21"/>
              </w:rPr>
            </w:pPr>
            <w:r>
              <w:rPr>
                <w:szCs w:val="21"/>
              </w:rPr>
              <w:t>1</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763" w:type="dxa"/>
            <w:vMerge w:val="continue"/>
            <w:vAlign w:val="center"/>
          </w:tcPr>
          <w:p>
            <w:pPr>
              <w:pStyle w:val="52"/>
              <w:rPr>
                <w:szCs w:val="20"/>
              </w:rPr>
            </w:pPr>
          </w:p>
        </w:tc>
        <w:tc>
          <w:tcPr>
            <w:tcW w:w="1059"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15</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904"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1"/>
              </w:rPr>
            </w:pPr>
            <w:r>
              <w:rPr>
                <w:szCs w:val="21"/>
              </w:rPr>
              <w:t>0.0</w:t>
            </w:r>
          </w:p>
        </w:tc>
      </w:tr>
    </w:tbl>
    <w:p>
      <w:pPr>
        <w:pStyle w:val="52"/>
      </w:pPr>
    </w:p>
    <w:p>
      <w:pPr>
        <w:pStyle w:val="67"/>
      </w:pPr>
      <w:bookmarkStart w:id="91" w:name="_Toc470167369"/>
      <w:r>
        <w:rPr>
          <w:rFonts w:hint="eastAsia"/>
        </w:rPr>
        <w:t>3、就业城市类型</w:t>
      </w:r>
      <w:bookmarkEnd w:id="91"/>
    </w:p>
    <w:p>
      <w:pPr>
        <w:pStyle w:val="37"/>
        <w:ind w:firstLine="480"/>
      </w:pPr>
      <w:r>
        <w:rPr>
          <w:rFonts w:hint="eastAsia"/>
        </w:rPr>
        <w:t>根据行政级别把中国内地城市分为三种类型，直辖市（包括北京、上海、天津、重庆），副省级城市（包括哈尔滨、长春、沈阳、大连、济南、青岛、南京、杭州、宁波、厦门、广州、深圳、武汉、成都、西安15个城市）和地级城市及以下（如苏州、保定等，也包括部分省会城市如福州、长沙等）。</w:t>
      </w:r>
    </w:p>
    <w:p>
      <w:pPr>
        <w:pStyle w:val="37"/>
        <w:ind w:firstLine="480"/>
      </w:pPr>
      <w:r>
        <w:rPr>
          <w:rFonts w:hint="eastAsia"/>
        </w:rPr>
        <w:t>调查显示，就城市类型而言，专科生期望首选和最终落实在直辖市的比例为100.0%。</w:t>
      </w:r>
    </w:p>
    <w:p>
      <w:pPr>
        <w:pStyle w:val="53"/>
        <w:spacing w:before="312" w:after="156"/>
      </w:pPr>
      <w:r>
        <w:rPr>
          <w:rFonts w:hint="eastAsia"/>
        </w:rPr>
        <w:t>期望首选与最终落实就业城市类型（%）</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直辖市</w:t>
            </w:r>
          </w:p>
        </w:tc>
        <w:tc>
          <w:tcPr>
            <w:tcW w:w="1134" w:type="dxa"/>
            <w:vAlign w:val="center"/>
          </w:tcPr>
          <w:p>
            <w:pPr>
              <w:widowControl/>
              <w:jc w:val="center"/>
              <w:rPr>
                <w:color w:val="000000"/>
                <w:kern w:val="0"/>
                <w:szCs w:val="21"/>
              </w:rPr>
            </w:pPr>
            <w:r>
              <w:rPr>
                <w:color w:val="000000"/>
                <w:kern w:val="0"/>
                <w:szCs w:val="21"/>
              </w:rPr>
              <w:t>100.0</w:t>
            </w:r>
          </w:p>
        </w:tc>
        <w:tc>
          <w:tcPr>
            <w:tcW w:w="1238" w:type="dxa"/>
            <w:vAlign w:val="center"/>
          </w:tcPr>
          <w:p>
            <w:pPr>
              <w:widowControl/>
              <w:jc w:val="center"/>
              <w:rPr>
                <w:color w:val="000000"/>
                <w:kern w:val="0"/>
                <w:szCs w:val="21"/>
              </w:rPr>
            </w:pPr>
            <w:r>
              <w:rPr>
                <w:color w:val="000000"/>
                <w:kern w:val="0"/>
                <w:szCs w:val="21"/>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副省级城市</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地级城市及以下</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bl>
    <w:p>
      <w:pPr>
        <w:pStyle w:val="52"/>
      </w:pPr>
    </w:p>
    <w:p>
      <w:pPr>
        <w:pStyle w:val="67"/>
      </w:pPr>
      <w:bookmarkStart w:id="92" w:name="_Toc470167370"/>
      <w:r>
        <w:rPr>
          <w:rFonts w:hint="eastAsia"/>
        </w:rPr>
        <w:t>4、单位类型</w:t>
      </w:r>
      <w:bookmarkEnd w:id="92"/>
    </w:p>
    <w:p>
      <w:pPr>
        <w:pStyle w:val="37"/>
        <w:ind w:firstLine="480"/>
      </w:pPr>
      <w:r>
        <w:rPr>
          <w:rFonts w:hint="eastAsia"/>
        </w:rPr>
        <w:t>总体而言，专科生期望首选的三个主要类型为：其他（62.5%），事业单位（18.8%），机关（12.5%）。最终落实的三个主要类型为：其他（68.8%），事业单位（25.0%），民营/私营企业（6.3%）。</w:t>
      </w:r>
    </w:p>
    <w:p>
      <w:pPr>
        <w:jc w:val="center"/>
      </w:pPr>
      <w:r>
        <w:rPr>
          <w:rFonts w:hint="eastAsia"/>
        </w:rPr>
        <w:drawing>
          <wp:inline distT="0" distB="0" distL="0" distR="0">
            <wp:extent cx="6315075" cy="2914650"/>
            <wp:effectExtent l="19050" t="0" r="9525" b="0"/>
            <wp:docPr id="4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59"/>
        <w:spacing w:before="156" w:after="312"/>
      </w:pPr>
      <w:r>
        <w:rPr>
          <w:rFonts w:hint="eastAsia"/>
        </w:rPr>
        <w:t>期望首选与最终落实就业单位类型</w:t>
      </w:r>
    </w:p>
    <w:p>
      <w:pPr>
        <w:pStyle w:val="53"/>
        <w:spacing w:before="312" w:after="156"/>
      </w:pPr>
      <w:r>
        <w:rPr>
          <w:rFonts w:hint="eastAsia"/>
        </w:rPr>
        <w:t>期望首选与最终落实就业单位类型</w:t>
      </w:r>
    </w:p>
    <w:tbl>
      <w:tblPr>
        <w:tblStyle w:val="33"/>
        <w:tblW w:w="6850" w:type="dxa"/>
        <w:jc w:val="center"/>
        <w:tblInd w:w="0" w:type="dxa"/>
        <w:tblLayout w:type="fixed"/>
        <w:tblCellMar>
          <w:top w:w="0" w:type="dxa"/>
          <w:left w:w="108" w:type="dxa"/>
          <w:bottom w:w="0" w:type="dxa"/>
          <w:right w:w="108" w:type="dxa"/>
        </w:tblCellMar>
      </w:tblPr>
      <w:tblGrid>
        <w:gridCol w:w="2865"/>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2865"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rPr>
                <w:szCs w:val="20"/>
              </w:rPr>
            </w:pP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2865" w:type="dxa"/>
            <w:vMerge w:val="continue"/>
            <w:tcBorders>
              <w:top w:val="single" w:color="00B050" w:sz="12" w:space="0"/>
              <w:left w:val="single" w:color="00B050" w:sz="8" w:space="0"/>
              <w:bottom w:val="single" w:color="00B050" w:sz="8" w:space="0"/>
              <w:right w:val="dotted" w:color="00B050" w:sz="8" w:space="0"/>
            </w:tcBorders>
            <w:vAlign w:val="center"/>
          </w:tcPr>
          <w:p>
            <w:pPr>
              <w:pStyle w:val="52"/>
              <w:rPr>
                <w:szCs w:val="20"/>
              </w:rPr>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20"/>
              </w:rPr>
            </w:pPr>
            <w:r>
              <w:rPr>
                <w:rFonts w:hint="eastAsia"/>
              </w:rPr>
              <w:t>机关</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2</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12.5</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0.0</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事业单位</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18.8</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25.0</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民营/私营企业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6.3</w:t>
            </w:r>
          </w:p>
        </w:tc>
      </w:tr>
      <w:tr>
        <w:tblPrEx>
          <w:tblLayout w:type="fixed"/>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其他</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62.5</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68.8</w:t>
            </w:r>
          </w:p>
        </w:tc>
      </w:tr>
    </w:tbl>
    <w:p>
      <w:pPr>
        <w:pStyle w:val="37"/>
        <w:ind w:firstLine="0" w:firstLineChars="0"/>
      </w:pPr>
    </w:p>
    <w:p>
      <w:pPr>
        <w:pStyle w:val="67"/>
      </w:pPr>
      <w:bookmarkStart w:id="93" w:name="_Toc470167371"/>
      <w:r>
        <w:rPr>
          <w:rFonts w:hint="eastAsia"/>
        </w:rPr>
        <w:t>5、就业行业</w:t>
      </w:r>
      <w:bookmarkEnd w:id="93"/>
    </w:p>
    <w:p>
      <w:pPr>
        <w:pStyle w:val="37"/>
        <w:ind w:firstLine="480"/>
      </w:pPr>
      <w:r>
        <w:rPr>
          <w:rFonts w:hint="eastAsia"/>
        </w:rPr>
        <w:t>总体而言，专科生期望首选与最终落实的三个主要行业为：文化、体育和娱乐业（81.3%，75.0%），其他行业（6.3%，12.5%），教育及科研行业（6.3%，6.3%）。</w:t>
      </w:r>
    </w:p>
    <w:p>
      <w:pPr>
        <w:jc w:val="center"/>
      </w:pPr>
      <w:r>
        <w:rPr>
          <w:rFonts w:hint="eastAsia"/>
        </w:rPr>
        <w:drawing>
          <wp:inline distT="0" distB="0" distL="0" distR="0">
            <wp:extent cx="6315075" cy="2914650"/>
            <wp:effectExtent l="19050" t="0" r="9525" b="0"/>
            <wp:docPr id="4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59"/>
        <w:spacing w:before="156" w:after="312"/>
      </w:pPr>
      <w:r>
        <w:rPr>
          <w:rFonts w:hint="eastAsia"/>
        </w:rPr>
        <w:t>期望首选与最终落实就业行业</w:t>
      </w:r>
    </w:p>
    <w:p>
      <w:pPr>
        <w:pStyle w:val="53"/>
        <w:spacing w:before="312" w:after="156"/>
      </w:pPr>
      <w:r>
        <w:rPr>
          <w:rFonts w:hint="eastAsia"/>
        </w:rPr>
        <w:t>期望首选与最终落实就业行业</w:t>
      </w:r>
    </w:p>
    <w:tbl>
      <w:tblPr>
        <w:tblStyle w:val="33"/>
        <w:tblW w:w="8465" w:type="dxa"/>
        <w:jc w:val="center"/>
        <w:tblInd w:w="0" w:type="dxa"/>
        <w:tblLayout w:type="fixed"/>
        <w:tblCellMar>
          <w:top w:w="0" w:type="dxa"/>
          <w:left w:w="108" w:type="dxa"/>
          <w:bottom w:w="0" w:type="dxa"/>
          <w:right w:w="108" w:type="dxa"/>
        </w:tblCellMar>
      </w:tblPr>
      <w:tblGrid>
        <w:gridCol w:w="1214"/>
        <w:gridCol w:w="3266"/>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1214"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ind w:firstLine="480"/>
              <w:jc w:val="center"/>
              <w:rPr>
                <w:szCs w:val="20"/>
              </w:rPr>
            </w:pPr>
          </w:p>
        </w:tc>
        <w:tc>
          <w:tcPr>
            <w:tcW w:w="3266" w:type="dxa"/>
            <w:vMerge w:val="restart"/>
            <w:tcBorders>
              <w:top w:val="single" w:color="00B050" w:sz="8" w:space="0"/>
              <w:left w:val="dotted" w:color="00B050" w:sz="8" w:space="0"/>
              <w:right w:val="dotted" w:color="00B050" w:sz="8" w:space="0"/>
            </w:tcBorders>
          </w:tcPr>
          <w:p>
            <w:pPr>
              <w:pStyle w:val="52"/>
              <w:jc w:val="left"/>
            </w:pP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top w:val="single" w:color="00B050" w:sz="12" w:space="0"/>
              <w:left w:val="single" w:color="00B050" w:sz="8" w:space="0"/>
              <w:bottom w:val="single" w:color="00B050" w:sz="8" w:space="0"/>
              <w:right w:val="dotted" w:color="00B050" w:sz="8" w:space="0"/>
            </w:tcBorders>
            <w:vAlign w:val="center"/>
          </w:tcPr>
          <w:p>
            <w:pPr>
              <w:pStyle w:val="52"/>
              <w:jc w:val="center"/>
              <w:rPr>
                <w:szCs w:val="20"/>
              </w:rPr>
            </w:pPr>
          </w:p>
        </w:tc>
        <w:tc>
          <w:tcPr>
            <w:tcW w:w="3266" w:type="dxa"/>
            <w:vMerge w:val="continue"/>
            <w:tcBorders>
              <w:left w:val="dotted" w:color="00B050" w:sz="8" w:space="0"/>
              <w:bottom w:val="single" w:color="00B050" w:sz="8" w:space="0"/>
              <w:right w:val="dotted" w:color="00B050" w:sz="8" w:space="0"/>
            </w:tcBorders>
          </w:tcPr>
          <w:p>
            <w:pPr>
              <w:pStyle w:val="52"/>
              <w:jc w:val="left"/>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121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第二产业</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采矿/建筑/水电气业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0.0</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6.3</w:t>
            </w:r>
          </w:p>
        </w:tc>
      </w:tr>
      <w:tr>
        <w:tblPrEx>
          <w:tblLayout w:type="fixed"/>
          <w:tblCellMar>
            <w:top w:w="0" w:type="dxa"/>
            <w:left w:w="108" w:type="dxa"/>
            <w:bottom w:w="0" w:type="dxa"/>
            <w:right w:w="108" w:type="dxa"/>
          </w:tblCellMar>
        </w:tblPrEx>
        <w:trPr>
          <w:trHeight w:val="285" w:hRule="atLeast"/>
          <w:jc w:val="center"/>
        </w:trPr>
        <w:tc>
          <w:tcPr>
            <w:tcW w:w="1214"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pPr>
            <w:r>
              <w:rPr>
                <w:rFonts w:hint="eastAsia"/>
              </w:rPr>
              <w:t>第三产业</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金融地产业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0.0</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left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教育及科研行业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6.3</w:t>
            </w:r>
          </w:p>
        </w:tc>
      </w:tr>
      <w:tr>
        <w:tblPrEx>
          <w:tblLayout w:type="fixed"/>
        </w:tblPrEx>
        <w:trPr>
          <w:trHeight w:val="285" w:hRule="atLeast"/>
          <w:jc w:val="center"/>
        </w:trPr>
        <w:tc>
          <w:tcPr>
            <w:tcW w:w="1214" w:type="dxa"/>
            <w:vMerge w:val="continue"/>
            <w:tcBorders>
              <w:left w:val="single" w:color="00B050" w:sz="8" w:space="0"/>
              <w:bottom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文化、体育和娱乐业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81.3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75.0</w:t>
            </w:r>
          </w:p>
        </w:tc>
      </w:tr>
      <w:tr>
        <w:tblPrEx>
          <w:tblLayout w:type="fixed"/>
          <w:tblCellMar>
            <w:top w:w="0" w:type="dxa"/>
            <w:left w:w="108" w:type="dxa"/>
            <w:bottom w:w="0" w:type="dxa"/>
            <w:right w:w="108" w:type="dxa"/>
          </w:tblCellMar>
        </w:tblPrEx>
        <w:trPr>
          <w:trHeight w:val="285" w:hRule="atLeast"/>
          <w:jc w:val="center"/>
        </w:trPr>
        <w:tc>
          <w:tcPr>
            <w:tcW w:w="1214" w:type="dxa"/>
            <w:tcBorders>
              <w:left w:val="single" w:color="00B050" w:sz="8" w:space="0"/>
              <w:bottom w:val="single" w:color="00B050" w:sz="8" w:space="0"/>
              <w:right w:val="dotted" w:color="00B050" w:sz="8" w:space="0"/>
            </w:tcBorders>
            <w:shd w:val="clear" w:color="auto" w:fill="auto"/>
            <w:vAlign w:val="center"/>
          </w:tcPr>
          <w:p>
            <w:pPr>
              <w:pStyle w:val="52"/>
              <w:jc w:val="center"/>
            </w:pPr>
            <w:r>
              <w:rPr>
                <w:rFonts w:hint="eastAsia"/>
              </w:rPr>
              <w:t>其他</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其他行业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12.5</w:t>
            </w:r>
          </w:p>
        </w:tc>
      </w:tr>
    </w:tbl>
    <w:p>
      <w:pPr>
        <w:pStyle w:val="37"/>
        <w:ind w:firstLine="0" w:firstLineChars="0"/>
      </w:pPr>
    </w:p>
    <w:p>
      <w:pPr>
        <w:pStyle w:val="67"/>
      </w:pPr>
      <w:bookmarkStart w:id="94" w:name="_Toc470167372"/>
      <w:r>
        <w:rPr>
          <w:rFonts w:hint="eastAsia"/>
        </w:rPr>
        <w:t>6、年薪</w:t>
      </w:r>
      <w:bookmarkEnd w:id="94"/>
    </w:p>
    <w:p>
      <w:pPr>
        <w:pStyle w:val="37"/>
        <w:ind w:firstLine="480"/>
      </w:pPr>
      <w:r>
        <w:rPr>
          <w:rFonts w:hint="eastAsia"/>
        </w:rPr>
        <w:t>就总体而言，专科生期望工作转正后平均年薪11.85万元，而最终落实的平均年薪为14.78万元，高于期望年薪。</w:t>
      </w:r>
    </w:p>
    <w:p>
      <w:pPr>
        <w:jc w:val="center"/>
      </w:pPr>
      <w:r>
        <w:rPr>
          <w:rFonts w:hint="eastAsia"/>
        </w:rPr>
        <w:drawing>
          <wp:inline distT="0" distB="0" distL="0" distR="0">
            <wp:extent cx="6124575" cy="3077210"/>
            <wp:effectExtent l="19050" t="0" r="9525" b="8890"/>
            <wp:docPr id="44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59"/>
        <w:spacing w:before="156" w:after="312"/>
      </w:pPr>
      <w:r>
        <w:rPr>
          <w:rFonts w:hint="eastAsia"/>
        </w:rPr>
        <w:t>期望与落实年薪（万元）</w:t>
      </w:r>
    </w:p>
    <w:p>
      <w:pPr>
        <w:pStyle w:val="53"/>
        <w:spacing w:before="312" w:after="156"/>
      </w:pPr>
      <w:r>
        <w:rPr>
          <w:rFonts w:hint="eastAsia"/>
        </w:rPr>
        <w:t>期望与落实年薪（万元）</w:t>
      </w:r>
    </w:p>
    <w:tbl>
      <w:tblPr>
        <w:tblStyle w:val="33"/>
        <w:tblW w:w="512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80"/>
        <w:gridCol w:w="1080"/>
        <w:gridCol w:w="979"/>
        <w:gridCol w:w="992"/>
        <w:gridCol w:w="993"/>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80"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szCs w:val="18"/>
              </w:rPr>
              <w:t>N</w:t>
            </w:r>
          </w:p>
        </w:tc>
        <w:tc>
          <w:tcPr>
            <w:tcW w:w="979" w:type="dxa"/>
            <w:shd w:val="clear" w:color="auto" w:fill="auto"/>
            <w:vAlign w:val="center"/>
          </w:tcPr>
          <w:p>
            <w:pPr>
              <w:pStyle w:val="52"/>
              <w:jc w:val="center"/>
              <w:rPr>
                <w:szCs w:val="20"/>
              </w:rPr>
            </w:pPr>
            <w:r>
              <w:rPr>
                <w:rFonts w:hint="eastAsia"/>
                <w:szCs w:val="18"/>
              </w:rPr>
              <w:t>均值</w:t>
            </w:r>
          </w:p>
        </w:tc>
        <w:tc>
          <w:tcPr>
            <w:tcW w:w="992" w:type="dxa"/>
            <w:shd w:val="clear" w:color="auto" w:fill="auto"/>
            <w:vAlign w:val="center"/>
          </w:tcPr>
          <w:p>
            <w:pPr>
              <w:pStyle w:val="52"/>
              <w:jc w:val="center"/>
              <w:rPr>
                <w:szCs w:val="20"/>
              </w:rPr>
            </w:pPr>
            <w:r>
              <w:rPr>
                <w:rFonts w:hint="eastAsia"/>
                <w:szCs w:val="18"/>
              </w:rPr>
              <w:t>标准差</w:t>
            </w:r>
          </w:p>
        </w:tc>
        <w:tc>
          <w:tcPr>
            <w:tcW w:w="993" w:type="dxa"/>
            <w:vAlign w:val="center"/>
          </w:tcPr>
          <w:p>
            <w:pPr>
              <w:pStyle w:val="52"/>
              <w:jc w:val="center"/>
              <w:rPr>
                <w:szCs w:val="18"/>
              </w:rPr>
            </w:pPr>
            <w:r>
              <w:rPr>
                <w:rFonts w:hint="eastAsia"/>
                <w:szCs w:val="18"/>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rPr>
              <w:t>期望年薪</w:t>
            </w:r>
          </w:p>
        </w:tc>
        <w:tc>
          <w:tcPr>
            <w:tcW w:w="1080" w:type="dxa"/>
            <w:shd w:val="clear" w:color="auto" w:fill="auto"/>
            <w:vAlign w:val="center"/>
          </w:tcPr>
          <w:p>
            <w:pPr>
              <w:pStyle w:val="52"/>
              <w:jc w:val="center"/>
              <w:rPr>
                <w:szCs w:val="20"/>
              </w:rPr>
            </w:pPr>
            <w:r>
              <w:rPr>
                <w:szCs w:val="18"/>
              </w:rPr>
              <w:t>13</w:t>
            </w:r>
          </w:p>
        </w:tc>
        <w:tc>
          <w:tcPr>
            <w:tcW w:w="979" w:type="dxa"/>
            <w:shd w:val="clear" w:color="auto" w:fill="auto"/>
            <w:vAlign w:val="center"/>
          </w:tcPr>
          <w:p>
            <w:pPr>
              <w:pStyle w:val="52"/>
              <w:jc w:val="center"/>
              <w:rPr>
                <w:szCs w:val="20"/>
              </w:rPr>
            </w:pPr>
            <w:r>
              <w:rPr>
                <w:szCs w:val="18"/>
              </w:rPr>
              <w:t>11.85</w:t>
            </w:r>
          </w:p>
        </w:tc>
        <w:tc>
          <w:tcPr>
            <w:tcW w:w="992" w:type="dxa"/>
            <w:shd w:val="clear" w:color="auto" w:fill="auto"/>
            <w:vAlign w:val="center"/>
          </w:tcPr>
          <w:p>
            <w:pPr>
              <w:pStyle w:val="52"/>
              <w:jc w:val="center"/>
              <w:rPr>
                <w:szCs w:val="20"/>
              </w:rPr>
            </w:pPr>
            <w:r>
              <w:rPr>
                <w:szCs w:val="18"/>
              </w:rPr>
              <w:t>5.37</w:t>
            </w:r>
          </w:p>
        </w:tc>
        <w:tc>
          <w:tcPr>
            <w:tcW w:w="993" w:type="dxa"/>
            <w:vAlign w:val="center"/>
          </w:tcPr>
          <w:p>
            <w:pPr>
              <w:pStyle w:val="52"/>
              <w:jc w:val="center"/>
              <w:rPr>
                <w:szCs w:val="18"/>
              </w:rPr>
            </w:pPr>
            <w:r>
              <w:rPr>
                <w:szCs w:val="18"/>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szCs w:val="18"/>
              </w:rPr>
              <w:t>最终落实</w:t>
            </w:r>
          </w:p>
        </w:tc>
        <w:tc>
          <w:tcPr>
            <w:tcW w:w="1080" w:type="dxa"/>
            <w:shd w:val="clear" w:color="auto" w:fill="auto"/>
            <w:vAlign w:val="center"/>
          </w:tcPr>
          <w:p>
            <w:pPr>
              <w:pStyle w:val="52"/>
              <w:jc w:val="center"/>
              <w:rPr>
                <w:szCs w:val="20"/>
              </w:rPr>
            </w:pPr>
            <w:r>
              <w:rPr>
                <w:szCs w:val="18"/>
              </w:rPr>
              <w:t>9</w:t>
            </w:r>
          </w:p>
        </w:tc>
        <w:tc>
          <w:tcPr>
            <w:tcW w:w="979" w:type="dxa"/>
            <w:shd w:val="clear" w:color="auto" w:fill="auto"/>
            <w:vAlign w:val="center"/>
          </w:tcPr>
          <w:p>
            <w:pPr>
              <w:pStyle w:val="52"/>
              <w:jc w:val="center"/>
              <w:rPr>
                <w:szCs w:val="20"/>
              </w:rPr>
            </w:pPr>
            <w:r>
              <w:rPr>
                <w:szCs w:val="18"/>
              </w:rPr>
              <w:t>14.78</w:t>
            </w:r>
          </w:p>
        </w:tc>
        <w:tc>
          <w:tcPr>
            <w:tcW w:w="992" w:type="dxa"/>
            <w:shd w:val="clear" w:color="auto" w:fill="auto"/>
            <w:vAlign w:val="center"/>
          </w:tcPr>
          <w:p>
            <w:pPr>
              <w:pStyle w:val="52"/>
              <w:jc w:val="center"/>
              <w:rPr>
                <w:szCs w:val="20"/>
              </w:rPr>
            </w:pPr>
            <w:r>
              <w:rPr>
                <w:szCs w:val="18"/>
              </w:rPr>
              <w:t>14.05</w:t>
            </w:r>
          </w:p>
        </w:tc>
        <w:tc>
          <w:tcPr>
            <w:tcW w:w="993" w:type="dxa"/>
            <w:vAlign w:val="center"/>
          </w:tcPr>
          <w:p>
            <w:pPr>
              <w:pStyle w:val="52"/>
              <w:jc w:val="center"/>
              <w:rPr>
                <w:szCs w:val="18"/>
              </w:rPr>
            </w:pPr>
            <w:r>
              <w:rPr>
                <w:szCs w:val="18"/>
              </w:rPr>
              <w:t>10.00</w:t>
            </w:r>
          </w:p>
        </w:tc>
      </w:tr>
    </w:tbl>
    <w:p>
      <w:pPr>
        <w:pStyle w:val="37"/>
        <w:ind w:firstLine="480"/>
      </w:pPr>
    </w:p>
    <w:p>
      <w:pPr>
        <w:pStyle w:val="67"/>
      </w:pPr>
      <w:bookmarkStart w:id="95" w:name="_Toc470167373"/>
      <w:r>
        <w:rPr>
          <w:rFonts w:hint="eastAsia"/>
        </w:rPr>
        <w:t>7、福利保障</w:t>
      </w:r>
      <w:bookmarkEnd w:id="95"/>
    </w:p>
    <w:p>
      <w:pPr>
        <w:pStyle w:val="70"/>
      </w:pPr>
      <w:r>
        <w:rPr>
          <w:rFonts w:hint="eastAsia"/>
        </w:rPr>
        <w:t>（1）五险</w:t>
      </w:r>
    </w:p>
    <w:p>
      <w:pPr>
        <w:pStyle w:val="37"/>
        <w:ind w:firstLine="480"/>
      </w:pPr>
      <w:r>
        <w:rPr>
          <w:rFonts w:hint="eastAsia"/>
        </w:rPr>
        <w:t>总体而言，18.8%表示“有五险”，81.3%表示“没有五险”。</w:t>
      </w:r>
    </w:p>
    <w:p>
      <w:pPr>
        <w:jc w:val="center"/>
      </w:pPr>
      <w:r>
        <w:rPr>
          <w:rFonts w:hint="eastAsia"/>
        </w:rPr>
        <w:drawing>
          <wp:inline distT="0" distB="0" distL="0" distR="0">
            <wp:extent cx="6076950" cy="3077210"/>
            <wp:effectExtent l="19050" t="0" r="19050" b="8890"/>
            <wp:docPr id="45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59"/>
        <w:spacing w:before="156" w:after="312"/>
      </w:pPr>
      <w:r>
        <w:rPr>
          <w:rFonts w:hint="eastAsia"/>
        </w:rPr>
        <w:t>专科生享受五险情况</w:t>
      </w:r>
    </w:p>
    <w:p>
      <w:pPr>
        <w:pStyle w:val="53"/>
        <w:spacing w:before="312" w:after="156"/>
      </w:pPr>
      <w:r>
        <w:rPr>
          <w:rFonts w:hint="eastAsia"/>
        </w:rPr>
        <w:t>专科生享受五险情况</w:t>
      </w:r>
    </w:p>
    <w:tbl>
      <w:tblPr>
        <w:tblStyle w:val="33"/>
        <w:tblW w:w="206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有五险</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3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没有五险</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13</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81.3</w:t>
            </w:r>
          </w:p>
        </w:tc>
      </w:tr>
    </w:tbl>
    <w:p>
      <w:pPr>
        <w:pStyle w:val="37"/>
        <w:ind w:firstLine="0" w:firstLineChars="0"/>
      </w:pPr>
    </w:p>
    <w:p>
      <w:pPr>
        <w:pStyle w:val="70"/>
      </w:pPr>
      <w:r>
        <w:rPr>
          <w:rFonts w:hint="eastAsia"/>
        </w:rPr>
        <w:t>（2）公积金</w:t>
      </w:r>
    </w:p>
    <w:p>
      <w:pPr>
        <w:pStyle w:val="37"/>
        <w:ind w:firstLine="480"/>
      </w:pPr>
      <w:r>
        <w:rPr>
          <w:rFonts w:hint="eastAsia"/>
        </w:rPr>
        <w:t>总体而言，18.8%表示“有公积金”，81.3%表示“没有公积金”。</w:t>
      </w:r>
    </w:p>
    <w:p>
      <w:pPr>
        <w:jc w:val="center"/>
      </w:pPr>
      <w:r>
        <w:rPr>
          <w:rFonts w:hint="eastAsia"/>
        </w:rPr>
        <w:drawing>
          <wp:inline distT="0" distB="0" distL="0" distR="0">
            <wp:extent cx="6076950" cy="2895600"/>
            <wp:effectExtent l="0" t="0" r="0" b="0"/>
            <wp:docPr id="4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59"/>
        <w:spacing w:before="156" w:after="312"/>
      </w:pPr>
      <w:r>
        <w:rPr>
          <w:rFonts w:hint="eastAsia"/>
        </w:rPr>
        <w:t>专科生享受公积金情况</w:t>
      </w:r>
    </w:p>
    <w:p>
      <w:pPr>
        <w:pStyle w:val="53"/>
        <w:spacing w:before="312" w:after="156"/>
      </w:pPr>
      <w:r>
        <w:rPr>
          <w:rFonts w:hint="eastAsia"/>
        </w:rPr>
        <w:t>专科生享受公积金情况</w:t>
      </w:r>
    </w:p>
    <w:tbl>
      <w:tblPr>
        <w:tblStyle w:val="33"/>
        <w:tblW w:w="227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26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26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有公积金</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3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没有公积金</w:t>
            </w:r>
          </w:p>
        </w:tc>
        <w:tc>
          <w:tcPr>
            <w:tcW w:w="426"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13</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81.3</w:t>
            </w:r>
          </w:p>
        </w:tc>
      </w:tr>
    </w:tbl>
    <w:p/>
    <w:p>
      <w:pPr>
        <w:pStyle w:val="67"/>
      </w:pPr>
      <w:bookmarkStart w:id="96" w:name="_Toc470167374"/>
      <w:r>
        <w:rPr>
          <w:rFonts w:hint="eastAsia"/>
        </w:rPr>
        <w:t>8、发展前景</w:t>
      </w:r>
      <w:bookmarkEnd w:id="96"/>
    </w:p>
    <w:p>
      <w:pPr>
        <w:pStyle w:val="70"/>
      </w:pPr>
      <w:r>
        <w:rPr>
          <w:rFonts w:hint="eastAsia"/>
        </w:rPr>
        <w:t>（1）发展空间</w:t>
      </w:r>
    </w:p>
    <w:p>
      <w:pPr>
        <w:pStyle w:val="37"/>
        <w:ind w:firstLine="480"/>
      </w:pPr>
      <w:r>
        <w:rPr>
          <w:rFonts w:hint="eastAsia"/>
        </w:rPr>
        <w:t>总体而言，62.5%的专科生表示发展空间“很大”或“大”，37.5%认为“不好说”。</w:t>
      </w:r>
    </w:p>
    <w:p>
      <w:pPr>
        <w:jc w:val="center"/>
      </w:pPr>
      <w:r>
        <w:rPr>
          <w:rFonts w:hint="eastAsia"/>
        </w:rPr>
        <w:drawing>
          <wp:inline distT="0" distB="0" distL="0" distR="0">
            <wp:extent cx="6076950" cy="3077210"/>
            <wp:effectExtent l="19050" t="0" r="19050" b="8890"/>
            <wp:docPr id="45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59"/>
        <w:spacing w:before="156" w:after="312"/>
      </w:pPr>
      <w:r>
        <w:rPr>
          <w:rFonts w:hint="eastAsia"/>
        </w:rPr>
        <w:t>专科生发展空间情况</w:t>
      </w:r>
    </w:p>
    <w:p>
      <w:pPr>
        <w:pStyle w:val="53"/>
        <w:spacing w:before="312" w:after="156"/>
      </w:pPr>
      <w:r>
        <w:rPr>
          <w:rFonts w:hint="eastAsia"/>
        </w:rPr>
        <w:t>专科生发展空间情况</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很大</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4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大</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6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37.5</w:t>
            </w:r>
          </w:p>
        </w:tc>
      </w:tr>
    </w:tbl>
    <w:p>
      <w:pPr>
        <w:pStyle w:val="37"/>
        <w:ind w:firstLine="0" w:firstLineChars="0"/>
      </w:pPr>
    </w:p>
    <w:p>
      <w:pPr>
        <w:pStyle w:val="70"/>
      </w:pPr>
      <w:r>
        <w:rPr>
          <w:rFonts w:hint="eastAsia"/>
        </w:rPr>
        <w:t>（2）发展路径</w:t>
      </w:r>
    </w:p>
    <w:p>
      <w:pPr>
        <w:pStyle w:val="37"/>
        <w:ind w:firstLine="480"/>
      </w:pPr>
      <w:r>
        <w:rPr>
          <w:rFonts w:hint="eastAsia"/>
        </w:rPr>
        <w:t>总体而言，68.8%的专科生表示发展路径“很清晰”或“清晰”，31.3%认为“不好说”。</w:t>
      </w:r>
    </w:p>
    <w:p>
      <w:pPr>
        <w:jc w:val="center"/>
      </w:pPr>
      <w:r>
        <w:rPr>
          <w:rFonts w:hint="eastAsia"/>
        </w:rPr>
        <w:drawing>
          <wp:inline distT="0" distB="0" distL="0" distR="0">
            <wp:extent cx="6076950" cy="3077210"/>
            <wp:effectExtent l="19050" t="0" r="19050" b="8890"/>
            <wp:docPr id="4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9"/>
        <w:spacing w:before="156" w:after="312"/>
      </w:pPr>
      <w:r>
        <w:rPr>
          <w:rFonts w:hint="eastAsia"/>
        </w:rPr>
        <w:t>专科生发展路径情况</w:t>
      </w:r>
    </w:p>
    <w:p>
      <w:pPr>
        <w:pStyle w:val="53"/>
        <w:spacing w:before="312" w:after="156"/>
      </w:pPr>
      <w:r>
        <w:rPr>
          <w:rFonts w:hint="eastAsia"/>
        </w:rPr>
        <w:t>专科生发展路径情况</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很清晰</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4 </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清晰</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43.8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不好说</w:t>
            </w:r>
          </w:p>
        </w:tc>
        <w:tc>
          <w:tcPr>
            <w:tcW w:w="368" w:type="dxa"/>
            <w:shd w:val="clear" w:color="auto" w:fill="auto"/>
            <w:vAlign w:val="center"/>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31.3</w:t>
            </w:r>
          </w:p>
        </w:tc>
      </w:tr>
    </w:tbl>
    <w:p/>
    <w:p>
      <w:pPr>
        <w:pStyle w:val="67"/>
      </w:pPr>
      <w:bookmarkStart w:id="97" w:name="_Toc470167375"/>
      <w:r>
        <w:rPr>
          <w:rFonts w:hint="eastAsia"/>
        </w:rPr>
        <w:t>9、稳定性</w:t>
      </w:r>
      <w:bookmarkEnd w:id="97"/>
    </w:p>
    <w:p>
      <w:pPr>
        <w:pStyle w:val="37"/>
        <w:ind w:firstLine="480"/>
      </w:pPr>
      <w:r>
        <w:rPr>
          <w:rFonts w:hint="eastAsia"/>
        </w:rPr>
        <w:t>总体而言，对于目前单位的预期工作时长，25.0%的专科生表示在目前单位的预期工作时间是在1年以内，50.0%的专科生表示在1到3年之间，6.3%的专科生表示在3-5年之间，18.8%的专科生表示会工作5年及以上。</w:t>
      </w:r>
    </w:p>
    <w:p>
      <w:pPr>
        <w:jc w:val="center"/>
      </w:pPr>
      <w:r>
        <w:rPr>
          <w:rFonts w:hint="eastAsia"/>
        </w:rPr>
        <w:drawing>
          <wp:inline distT="0" distB="0" distL="0" distR="0">
            <wp:extent cx="6076950" cy="3077210"/>
            <wp:effectExtent l="19050" t="0" r="19050" b="8890"/>
            <wp:docPr id="4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59"/>
        <w:spacing w:before="156" w:after="312"/>
      </w:pPr>
      <w:r>
        <w:rPr>
          <w:rFonts w:hint="eastAsia"/>
        </w:rPr>
        <w:t>专科生预期在目前单位工作时间</w:t>
      </w:r>
    </w:p>
    <w:p>
      <w:pPr>
        <w:pStyle w:val="53"/>
        <w:spacing w:before="312" w:after="156"/>
      </w:pPr>
      <w:r>
        <w:rPr>
          <w:rFonts w:hint="eastAsia"/>
        </w:rPr>
        <w:t>专科生预期在目前单位工作时间</w:t>
      </w:r>
    </w:p>
    <w:tbl>
      <w:tblPr>
        <w:tblStyle w:val="33"/>
        <w:tblW w:w="2113"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161"/>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161"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161"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年以内</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161"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年</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161"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年</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161"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年及以上</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18.8</w:t>
            </w:r>
          </w:p>
        </w:tc>
      </w:tr>
    </w:tbl>
    <w:p/>
    <w:p>
      <w:pPr>
        <w:pStyle w:val="67"/>
      </w:pPr>
      <w:bookmarkStart w:id="98" w:name="_Toc470167376"/>
      <w:r>
        <w:rPr>
          <w:rFonts w:hint="eastAsia"/>
        </w:rPr>
        <w:t>10、人职匹配情况</w:t>
      </w:r>
      <w:bookmarkEnd w:id="98"/>
    </w:p>
    <w:p>
      <w:pPr>
        <w:pStyle w:val="70"/>
      </w:pPr>
      <w:r>
        <w:rPr>
          <w:rFonts w:hint="eastAsia"/>
        </w:rPr>
        <w:t>（1）所学专业与工作的相关程度</w:t>
      </w:r>
    </w:p>
    <w:p>
      <w:pPr>
        <w:pStyle w:val="37"/>
        <w:ind w:firstLine="480"/>
      </w:pPr>
      <w:r>
        <w:rPr>
          <w:rFonts w:hint="eastAsia"/>
        </w:rPr>
        <w:t>对于所学专业与工作相关程度的评价，81.3%的专科生表示“很相关”或“相关”，18.8%认为“不好说”。</w:t>
      </w:r>
    </w:p>
    <w:p>
      <w:pPr>
        <w:jc w:val="center"/>
      </w:pPr>
      <w:r>
        <w:rPr>
          <w:rFonts w:hint="eastAsia"/>
        </w:rPr>
        <w:drawing>
          <wp:inline distT="0" distB="0" distL="0" distR="0">
            <wp:extent cx="6076950" cy="3077210"/>
            <wp:effectExtent l="19050" t="0" r="19050" b="8890"/>
            <wp:docPr id="4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59"/>
        <w:spacing w:before="156" w:after="312"/>
      </w:pPr>
      <w:r>
        <w:rPr>
          <w:rFonts w:hint="eastAsia"/>
        </w:rPr>
        <w:t>专科生所学专业与工作相关程度</w:t>
      </w:r>
    </w:p>
    <w:p>
      <w:pPr>
        <w:pStyle w:val="53"/>
        <w:spacing w:before="312" w:after="156"/>
      </w:pPr>
      <w:r>
        <w:rPr>
          <w:rFonts w:hint="eastAsia"/>
        </w:rPr>
        <w:t>专科生所学专业与工作相关程度</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很相关</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31.3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相关</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不好说</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18.8</w:t>
            </w:r>
          </w:p>
        </w:tc>
      </w:tr>
    </w:tbl>
    <w:p>
      <w:pPr>
        <w:pStyle w:val="37"/>
        <w:ind w:firstLine="0" w:firstLineChars="0"/>
      </w:pPr>
    </w:p>
    <w:p>
      <w:pPr>
        <w:pStyle w:val="70"/>
      </w:pPr>
      <w:r>
        <w:rPr>
          <w:rFonts w:hint="eastAsia"/>
        </w:rPr>
        <w:t>（2）教育层次与工作的适配情况</w:t>
      </w:r>
    </w:p>
    <w:p>
      <w:pPr>
        <w:pStyle w:val="37"/>
        <w:ind w:firstLine="480"/>
      </w:pPr>
      <w:r>
        <w:rPr>
          <w:rFonts w:hint="eastAsia"/>
        </w:rPr>
        <w:t>从学历层次与岗位要求的匹配程度看，18.8%的专科生表示教育层次高于岗位要求，75.0%的专科生表示教育层次恰好满足岗位要求，6.3%的专科生表示教育层次低于岗位要求。</w:t>
      </w:r>
    </w:p>
    <w:p>
      <w:pPr>
        <w:jc w:val="center"/>
      </w:pPr>
      <w:r>
        <w:rPr>
          <w:rFonts w:hint="eastAsia"/>
        </w:rPr>
        <w:drawing>
          <wp:inline distT="0" distB="0" distL="0" distR="0">
            <wp:extent cx="6076950" cy="3077210"/>
            <wp:effectExtent l="19050" t="0" r="19050" b="8890"/>
            <wp:docPr id="4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59"/>
        <w:spacing w:before="156" w:after="312"/>
      </w:pPr>
      <w:r>
        <w:rPr>
          <w:rFonts w:hint="eastAsia"/>
        </w:rPr>
        <w:t>专科生教育层次与工作的适配情况</w:t>
      </w:r>
    </w:p>
    <w:p>
      <w:pPr>
        <w:pStyle w:val="53"/>
        <w:spacing w:before="312" w:after="156"/>
      </w:pPr>
      <w:r>
        <w:rPr>
          <w:rFonts w:hint="eastAsia"/>
        </w:rPr>
        <w:t>专科生教育层次与工作的适配情况</w:t>
      </w:r>
    </w:p>
    <w:tbl>
      <w:tblPr>
        <w:tblStyle w:val="33"/>
        <w:tblW w:w="290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89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89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高于岗位要求</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18.8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恰好满足岗位要求</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12</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89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低于岗位要求</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6.3</w:t>
            </w:r>
          </w:p>
        </w:tc>
      </w:tr>
    </w:tbl>
    <w:p>
      <w:pPr>
        <w:pStyle w:val="37"/>
        <w:ind w:firstLine="0" w:firstLineChars="0"/>
      </w:pPr>
    </w:p>
    <w:p>
      <w:pPr>
        <w:pStyle w:val="67"/>
      </w:pPr>
      <w:bookmarkStart w:id="99" w:name="_Toc470167377"/>
      <w:r>
        <w:rPr>
          <w:rFonts w:hint="eastAsia"/>
        </w:rPr>
        <w:t>11、落实工作与期望相符情况</w:t>
      </w:r>
      <w:bookmarkEnd w:id="99"/>
    </w:p>
    <w:p>
      <w:pPr>
        <w:pStyle w:val="37"/>
        <w:ind w:firstLine="480"/>
      </w:pPr>
      <w:r>
        <w:rPr>
          <w:rFonts w:hint="eastAsia"/>
        </w:rPr>
        <w:t>总体而言，43.8%的专科生表示“很相符”或“相符”，43.8%认为“不好说”，12.5%则表示“不相符”。</w:t>
      </w:r>
    </w:p>
    <w:p>
      <w:pPr>
        <w:jc w:val="center"/>
      </w:pPr>
      <w:r>
        <w:rPr>
          <w:rFonts w:hint="eastAsia"/>
        </w:rPr>
        <w:drawing>
          <wp:inline distT="0" distB="0" distL="0" distR="0">
            <wp:extent cx="6076950" cy="3077210"/>
            <wp:effectExtent l="19050" t="0" r="19050" b="8890"/>
            <wp:docPr id="4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59"/>
        <w:spacing w:before="156" w:after="312"/>
      </w:pPr>
      <w:r>
        <w:rPr>
          <w:rFonts w:hint="eastAsia"/>
        </w:rPr>
        <w:t>专科生落实工作与期望相符情况</w:t>
      </w:r>
    </w:p>
    <w:p>
      <w:pPr>
        <w:pStyle w:val="53"/>
        <w:spacing w:before="312" w:after="156"/>
      </w:pPr>
      <w:r>
        <w:rPr>
          <w:rFonts w:hint="eastAsia"/>
        </w:rPr>
        <w:t>专科生落实工作与期望相符情况</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很相符</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相符</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31.3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不好说</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7</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43.8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不相符</w:t>
            </w:r>
          </w:p>
        </w:tc>
        <w:tc>
          <w:tcPr>
            <w:tcW w:w="368"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12.5</w:t>
            </w:r>
          </w:p>
        </w:tc>
      </w:tr>
    </w:tbl>
    <w:p>
      <w:pPr>
        <w:pStyle w:val="37"/>
        <w:ind w:firstLine="0" w:firstLineChars="0"/>
      </w:pPr>
    </w:p>
    <w:p>
      <w:pPr>
        <w:pStyle w:val="44"/>
        <w:spacing w:before="156"/>
      </w:pPr>
      <w:bookmarkStart w:id="100" w:name="_Toc470167378"/>
      <w:r>
        <w:rPr>
          <w:rFonts w:hint="eastAsia"/>
        </w:rPr>
        <w:t>（三）专科生求职过程</w:t>
      </w:r>
      <w:bookmarkEnd w:id="100"/>
    </w:p>
    <w:p>
      <w:pPr>
        <w:pStyle w:val="67"/>
      </w:pPr>
      <w:bookmarkStart w:id="101" w:name="_Toc470167379"/>
      <w:r>
        <w:rPr>
          <w:rFonts w:hint="eastAsia"/>
        </w:rPr>
        <w:t>1、求职积极程度</w:t>
      </w:r>
      <w:bookmarkEnd w:id="101"/>
    </w:p>
    <w:p>
      <w:pPr>
        <w:pStyle w:val="37"/>
        <w:ind w:firstLine="480"/>
      </w:pPr>
      <w:r>
        <w:rPr>
          <w:rFonts w:hint="eastAsia"/>
        </w:rPr>
        <w:t>对于求职过程中自己的积极程度评价，68.8%的专科生表示“很积极”或“积极”，25.0%认为“不好说”，6.3%则表示“很不积极”。</w:t>
      </w:r>
    </w:p>
    <w:p>
      <w:pPr>
        <w:jc w:val="center"/>
      </w:pPr>
      <w:r>
        <w:rPr>
          <w:rFonts w:hint="eastAsia"/>
        </w:rPr>
        <w:drawing>
          <wp:inline distT="0" distB="0" distL="0" distR="0">
            <wp:extent cx="6076950" cy="3077210"/>
            <wp:effectExtent l="19050" t="0" r="19050" b="8890"/>
            <wp:docPr id="4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59"/>
        <w:spacing w:before="156" w:after="312"/>
      </w:pPr>
      <w:r>
        <w:rPr>
          <w:rFonts w:hint="eastAsia"/>
        </w:rPr>
        <w:t>专科生求职积极程度</w:t>
      </w:r>
    </w:p>
    <w:p>
      <w:pPr>
        <w:pStyle w:val="53"/>
        <w:spacing w:before="312" w:after="156"/>
      </w:pPr>
      <w:r>
        <w:rPr>
          <w:rFonts w:hint="eastAsia"/>
        </w:rPr>
        <w:t>专科生求职积极程度</w:t>
      </w:r>
    </w:p>
    <w:tbl>
      <w:tblPr>
        <w:tblStyle w:val="33"/>
        <w:tblW w:w="206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很积极</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积极</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14</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43.8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不好说</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8</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很不积极</w:t>
            </w:r>
          </w:p>
        </w:tc>
        <w:tc>
          <w:tcPr>
            <w:tcW w:w="426"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584" w:type="dxa"/>
            <w:shd w:val="clear" w:color="auto" w:fill="auto"/>
          </w:tcPr>
          <w:p>
            <w:pPr>
              <w:autoSpaceDE w:val="0"/>
              <w:autoSpaceDN w:val="0"/>
              <w:adjustRightIn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6.3</w:t>
            </w:r>
          </w:p>
        </w:tc>
      </w:tr>
    </w:tbl>
    <w:p>
      <w:pPr>
        <w:pStyle w:val="37"/>
        <w:ind w:firstLine="0" w:firstLineChars="0"/>
      </w:pPr>
    </w:p>
    <w:p>
      <w:pPr>
        <w:pStyle w:val="67"/>
      </w:pPr>
      <w:bookmarkStart w:id="102" w:name="_Toc470167380"/>
      <w:r>
        <w:rPr>
          <w:rFonts w:hint="eastAsia"/>
        </w:rPr>
        <w:t>2、简历投递、面试机会及工作机会</w:t>
      </w:r>
      <w:bookmarkEnd w:id="102"/>
    </w:p>
    <w:p>
      <w:pPr>
        <w:pStyle w:val="37"/>
        <w:ind w:firstLine="480"/>
      </w:pPr>
      <w:r>
        <w:rPr>
          <w:rFonts w:hint="eastAsia"/>
        </w:rPr>
        <w:t>调查显示，专科生求职过程中平均投递简历14.08份，平均收到面试邀请5.29份，平均收到录取通知2.23份。</w:t>
      </w:r>
    </w:p>
    <w:p>
      <w:pPr>
        <w:jc w:val="center"/>
      </w:pPr>
      <w:r>
        <w:rPr>
          <w:rFonts w:hint="eastAsia"/>
        </w:rPr>
        <w:drawing>
          <wp:inline distT="0" distB="0" distL="0" distR="0">
            <wp:extent cx="6124575" cy="2809875"/>
            <wp:effectExtent l="0" t="0" r="0" b="0"/>
            <wp:docPr id="4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59"/>
        <w:spacing w:before="156" w:after="312"/>
      </w:pPr>
      <w:r>
        <w:rPr>
          <w:rFonts w:hint="eastAsia"/>
        </w:rPr>
        <w:t>专科生投递简历数、面试邀请数、录用通知数</w:t>
      </w:r>
    </w:p>
    <w:p>
      <w:pPr>
        <w:pStyle w:val="53"/>
        <w:spacing w:before="312" w:after="156"/>
      </w:pPr>
      <w:r>
        <w:rPr>
          <w:rFonts w:hint="eastAsia"/>
        </w:rPr>
        <w:t>专科生投递简历数、面试邀请数、录用通知数</w:t>
      </w:r>
    </w:p>
    <w:tbl>
      <w:tblPr>
        <w:tblStyle w:val="33"/>
        <w:tblW w:w="641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097"/>
        <w:gridCol w:w="1080"/>
        <w:gridCol w:w="1080"/>
        <w:gridCol w:w="1080"/>
        <w:gridCol w:w="1080"/>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097"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rPr>
              <w:t>N</w:t>
            </w:r>
          </w:p>
        </w:tc>
        <w:tc>
          <w:tcPr>
            <w:tcW w:w="1080" w:type="dxa"/>
            <w:shd w:val="clear" w:color="auto" w:fill="auto"/>
            <w:vAlign w:val="center"/>
          </w:tcPr>
          <w:p>
            <w:pPr>
              <w:pStyle w:val="52"/>
              <w:jc w:val="center"/>
              <w:rPr>
                <w:szCs w:val="20"/>
              </w:rPr>
            </w:pPr>
            <w:r>
              <w:rPr>
                <w:rFonts w:hint="eastAsia"/>
              </w:rPr>
              <w:t>均值</w:t>
            </w:r>
          </w:p>
        </w:tc>
        <w:tc>
          <w:tcPr>
            <w:tcW w:w="1080" w:type="dxa"/>
            <w:shd w:val="clear" w:color="auto" w:fill="auto"/>
            <w:vAlign w:val="center"/>
          </w:tcPr>
          <w:p>
            <w:pPr>
              <w:pStyle w:val="52"/>
              <w:jc w:val="center"/>
              <w:rPr>
                <w:szCs w:val="20"/>
              </w:rPr>
            </w:pPr>
            <w:r>
              <w:rPr>
                <w:rFonts w:hint="eastAsia"/>
              </w:rPr>
              <w:t>标准差</w:t>
            </w:r>
          </w:p>
        </w:tc>
        <w:tc>
          <w:tcPr>
            <w:tcW w:w="1080" w:type="dxa"/>
            <w:shd w:val="clear" w:color="auto" w:fill="auto"/>
            <w:vAlign w:val="center"/>
          </w:tcPr>
          <w:p>
            <w:pPr>
              <w:pStyle w:val="52"/>
              <w:jc w:val="center"/>
              <w:rPr>
                <w:szCs w:val="20"/>
              </w:rPr>
            </w:pPr>
            <w:r>
              <w:rPr>
                <w:rFonts w:hint="eastAsia"/>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投递简历</w:t>
            </w:r>
          </w:p>
        </w:tc>
        <w:tc>
          <w:tcPr>
            <w:tcW w:w="1080" w:type="dxa"/>
            <w:shd w:val="clear" w:color="auto" w:fill="auto"/>
            <w:vAlign w:val="center"/>
          </w:tcPr>
          <w:p>
            <w:pPr>
              <w:pStyle w:val="52"/>
              <w:jc w:val="center"/>
            </w:pPr>
            <w:r>
              <w:t>12</w:t>
            </w:r>
          </w:p>
        </w:tc>
        <w:tc>
          <w:tcPr>
            <w:tcW w:w="1080" w:type="dxa"/>
            <w:shd w:val="clear" w:color="auto" w:fill="auto"/>
            <w:vAlign w:val="center"/>
          </w:tcPr>
          <w:p>
            <w:pPr>
              <w:pStyle w:val="52"/>
              <w:jc w:val="center"/>
              <w:rPr>
                <w:szCs w:val="20"/>
              </w:rPr>
            </w:pPr>
            <w:r>
              <w:t>14.08</w:t>
            </w:r>
          </w:p>
        </w:tc>
        <w:tc>
          <w:tcPr>
            <w:tcW w:w="1080" w:type="dxa"/>
            <w:shd w:val="clear" w:color="auto" w:fill="auto"/>
            <w:vAlign w:val="center"/>
          </w:tcPr>
          <w:p>
            <w:pPr>
              <w:pStyle w:val="52"/>
              <w:jc w:val="center"/>
              <w:rPr>
                <w:szCs w:val="20"/>
              </w:rPr>
            </w:pPr>
            <w:r>
              <w:t>22.48</w:t>
            </w:r>
          </w:p>
        </w:tc>
        <w:tc>
          <w:tcPr>
            <w:tcW w:w="1080" w:type="dxa"/>
            <w:shd w:val="clear" w:color="auto" w:fill="auto"/>
            <w:vAlign w:val="center"/>
          </w:tcPr>
          <w:p>
            <w:pPr>
              <w:pStyle w:val="52"/>
              <w:jc w:val="center"/>
              <w:rPr>
                <w:szCs w:val="20"/>
              </w:rPr>
            </w:pPr>
            <w: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收到面试邀请</w:t>
            </w:r>
          </w:p>
        </w:tc>
        <w:tc>
          <w:tcPr>
            <w:tcW w:w="1080" w:type="dxa"/>
            <w:shd w:val="clear" w:color="auto" w:fill="auto"/>
            <w:vAlign w:val="center"/>
          </w:tcPr>
          <w:p>
            <w:pPr>
              <w:pStyle w:val="52"/>
              <w:jc w:val="center"/>
            </w:pPr>
            <w:r>
              <w:t>14</w:t>
            </w:r>
          </w:p>
        </w:tc>
        <w:tc>
          <w:tcPr>
            <w:tcW w:w="1080" w:type="dxa"/>
            <w:shd w:val="clear" w:color="auto" w:fill="auto"/>
            <w:vAlign w:val="center"/>
          </w:tcPr>
          <w:p>
            <w:pPr>
              <w:pStyle w:val="52"/>
              <w:jc w:val="center"/>
              <w:rPr>
                <w:szCs w:val="20"/>
              </w:rPr>
            </w:pPr>
            <w:r>
              <w:t>5.29</w:t>
            </w:r>
          </w:p>
        </w:tc>
        <w:tc>
          <w:tcPr>
            <w:tcW w:w="1080" w:type="dxa"/>
            <w:shd w:val="clear" w:color="auto" w:fill="auto"/>
            <w:vAlign w:val="center"/>
          </w:tcPr>
          <w:p>
            <w:pPr>
              <w:pStyle w:val="52"/>
              <w:jc w:val="center"/>
              <w:rPr>
                <w:szCs w:val="20"/>
              </w:rPr>
            </w:pPr>
            <w:r>
              <w:t>7.49</w:t>
            </w:r>
          </w:p>
        </w:tc>
        <w:tc>
          <w:tcPr>
            <w:tcW w:w="1080" w:type="dxa"/>
            <w:shd w:val="clear" w:color="auto" w:fill="auto"/>
            <w:vAlign w:val="center"/>
          </w:tcPr>
          <w:p>
            <w:pPr>
              <w:pStyle w:val="52"/>
              <w:jc w:val="center"/>
              <w:rPr>
                <w:szCs w:val="20"/>
              </w:rPr>
            </w:pPr>
            <w:r>
              <w:t>3.00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rPr>
                <w:szCs w:val="20"/>
              </w:rPr>
            </w:pPr>
            <w:r>
              <w:rPr>
                <w:rFonts w:hint="eastAsia"/>
              </w:rPr>
              <w:t>收到录取通知</w:t>
            </w:r>
          </w:p>
        </w:tc>
        <w:tc>
          <w:tcPr>
            <w:tcW w:w="1080" w:type="dxa"/>
            <w:shd w:val="clear" w:color="auto" w:fill="auto"/>
            <w:vAlign w:val="center"/>
          </w:tcPr>
          <w:p>
            <w:pPr>
              <w:pStyle w:val="52"/>
              <w:jc w:val="center"/>
              <w:rPr>
                <w:szCs w:val="20"/>
              </w:rPr>
            </w:pPr>
            <w:r>
              <w:t>13</w:t>
            </w:r>
          </w:p>
        </w:tc>
        <w:tc>
          <w:tcPr>
            <w:tcW w:w="1080" w:type="dxa"/>
            <w:shd w:val="clear" w:color="auto" w:fill="auto"/>
            <w:vAlign w:val="center"/>
          </w:tcPr>
          <w:p>
            <w:pPr>
              <w:pStyle w:val="52"/>
              <w:jc w:val="center"/>
              <w:rPr>
                <w:szCs w:val="20"/>
              </w:rPr>
            </w:pPr>
            <w:r>
              <w:t>2.23</w:t>
            </w:r>
          </w:p>
        </w:tc>
        <w:tc>
          <w:tcPr>
            <w:tcW w:w="1080" w:type="dxa"/>
            <w:shd w:val="clear" w:color="auto" w:fill="auto"/>
            <w:vAlign w:val="center"/>
          </w:tcPr>
          <w:p>
            <w:pPr>
              <w:pStyle w:val="52"/>
              <w:jc w:val="center"/>
              <w:rPr>
                <w:szCs w:val="20"/>
              </w:rPr>
            </w:pPr>
            <w:r>
              <w:t>1.64</w:t>
            </w:r>
          </w:p>
        </w:tc>
        <w:tc>
          <w:tcPr>
            <w:tcW w:w="1080" w:type="dxa"/>
            <w:shd w:val="clear" w:color="auto" w:fill="auto"/>
            <w:vAlign w:val="center"/>
          </w:tcPr>
          <w:p>
            <w:pPr>
              <w:pStyle w:val="52"/>
              <w:jc w:val="center"/>
              <w:rPr>
                <w:szCs w:val="20"/>
              </w:rPr>
            </w:pPr>
            <w:r>
              <w:t>2.00</w:t>
            </w:r>
          </w:p>
        </w:tc>
      </w:tr>
    </w:tbl>
    <w:p>
      <w:pPr>
        <w:pStyle w:val="37"/>
        <w:ind w:firstLine="0" w:firstLineChars="0"/>
      </w:pPr>
    </w:p>
    <w:p>
      <w:pPr>
        <w:pStyle w:val="67"/>
      </w:pPr>
      <w:bookmarkStart w:id="103" w:name="_Toc470167381"/>
      <w:r>
        <w:rPr>
          <w:rFonts w:hint="eastAsia"/>
        </w:rPr>
        <w:t>3、</w:t>
      </w:r>
      <w:r>
        <w:t>求职周期</w:t>
      </w:r>
      <w:r>
        <w:rPr>
          <w:rFonts w:hint="eastAsia"/>
        </w:rPr>
        <w:t>和收到第一份录用通知的时间</w:t>
      </w:r>
      <w:bookmarkEnd w:id="103"/>
    </w:p>
    <w:p>
      <w:pPr>
        <w:pStyle w:val="70"/>
      </w:pPr>
      <w:r>
        <w:rPr>
          <w:rFonts w:hint="eastAsia"/>
        </w:rPr>
        <w:t>（1）求职周期</w:t>
      </w:r>
    </w:p>
    <w:p>
      <w:pPr>
        <w:pStyle w:val="37"/>
        <w:ind w:firstLine="480"/>
      </w:pPr>
      <w:r>
        <w:rPr>
          <w:rFonts w:hint="eastAsia"/>
        </w:rPr>
        <w:t>调查显示，专科生求职初始到最终落实工作所用时间平均为2.69个月。</w:t>
      </w:r>
    </w:p>
    <w:p>
      <w:pPr>
        <w:pStyle w:val="53"/>
        <w:spacing w:before="312" w:after="156"/>
      </w:pPr>
      <w:r>
        <w:rPr>
          <w:rFonts w:hint="eastAsia"/>
        </w:rPr>
        <w:t>专科生求职周期</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16</w:t>
            </w:r>
          </w:p>
        </w:tc>
        <w:tc>
          <w:tcPr>
            <w:tcW w:w="1067" w:type="dxa"/>
            <w:vAlign w:val="center"/>
          </w:tcPr>
          <w:p>
            <w:pPr>
              <w:pStyle w:val="52"/>
              <w:jc w:val="center"/>
              <w:rPr>
                <w:kern w:val="0"/>
              </w:rPr>
            </w:pPr>
            <w:r>
              <w:rPr>
                <w:kern w:val="0"/>
              </w:rPr>
              <w:t>2.00</w:t>
            </w:r>
          </w:p>
        </w:tc>
        <w:tc>
          <w:tcPr>
            <w:tcW w:w="1067" w:type="dxa"/>
            <w:shd w:val="clear" w:color="auto" w:fill="auto"/>
            <w:vAlign w:val="center"/>
          </w:tcPr>
          <w:p>
            <w:pPr>
              <w:pStyle w:val="52"/>
              <w:jc w:val="center"/>
              <w:rPr>
                <w:kern w:val="0"/>
              </w:rPr>
            </w:pPr>
            <w:r>
              <w:rPr>
                <w:kern w:val="0"/>
              </w:rPr>
              <w:t>2.69</w:t>
            </w:r>
          </w:p>
        </w:tc>
        <w:tc>
          <w:tcPr>
            <w:tcW w:w="1068" w:type="dxa"/>
            <w:shd w:val="clear" w:color="auto" w:fill="auto"/>
            <w:vAlign w:val="center"/>
          </w:tcPr>
          <w:p>
            <w:pPr>
              <w:pStyle w:val="52"/>
              <w:jc w:val="center"/>
              <w:rPr>
                <w:kern w:val="0"/>
              </w:rPr>
            </w:pPr>
            <w:r>
              <w:rPr>
                <w:kern w:val="0"/>
              </w:rPr>
              <w:t>2.73</w:t>
            </w:r>
          </w:p>
        </w:tc>
      </w:tr>
    </w:tbl>
    <w:p>
      <w:pPr>
        <w:pStyle w:val="52"/>
      </w:pPr>
    </w:p>
    <w:p>
      <w:pPr>
        <w:pStyle w:val="70"/>
      </w:pPr>
      <w:r>
        <w:rPr>
          <w:rFonts w:hint="eastAsia"/>
        </w:rPr>
        <w:t>（2）收到第一份录用通知的时间</w:t>
      </w:r>
    </w:p>
    <w:p>
      <w:pPr>
        <w:pStyle w:val="37"/>
        <w:ind w:firstLine="480"/>
      </w:pPr>
      <w:r>
        <w:rPr>
          <w:rFonts w:hint="eastAsia"/>
        </w:rPr>
        <w:t>就收到第一份录用通知的时间而言，专科生平均在毕业前3.17个月拿到第一份录用通知，主要集中在2016年5月拿到第一个录取通知。</w:t>
      </w:r>
    </w:p>
    <w:p>
      <w:pPr>
        <w:pStyle w:val="53"/>
        <w:spacing w:before="312" w:after="156"/>
      </w:pPr>
      <w:r>
        <w:rPr>
          <w:rFonts w:hint="eastAsia"/>
        </w:rPr>
        <w:t>专科生收到第一份录用通知的时间</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12</w:t>
            </w:r>
          </w:p>
        </w:tc>
        <w:tc>
          <w:tcPr>
            <w:tcW w:w="1067" w:type="dxa"/>
            <w:vAlign w:val="center"/>
          </w:tcPr>
          <w:p>
            <w:pPr>
              <w:pStyle w:val="52"/>
              <w:jc w:val="center"/>
              <w:rPr>
                <w:kern w:val="0"/>
              </w:rPr>
            </w:pPr>
            <w:r>
              <w:rPr>
                <w:kern w:val="0"/>
              </w:rPr>
              <w:t>2.00</w:t>
            </w:r>
          </w:p>
        </w:tc>
        <w:tc>
          <w:tcPr>
            <w:tcW w:w="1067" w:type="dxa"/>
            <w:shd w:val="clear" w:color="auto" w:fill="auto"/>
            <w:vAlign w:val="center"/>
          </w:tcPr>
          <w:p>
            <w:pPr>
              <w:pStyle w:val="52"/>
              <w:jc w:val="center"/>
              <w:rPr>
                <w:kern w:val="0"/>
              </w:rPr>
            </w:pPr>
            <w:r>
              <w:rPr>
                <w:kern w:val="0"/>
              </w:rPr>
              <w:t>3.17</w:t>
            </w:r>
          </w:p>
        </w:tc>
        <w:tc>
          <w:tcPr>
            <w:tcW w:w="1068" w:type="dxa"/>
            <w:shd w:val="clear" w:color="auto" w:fill="auto"/>
            <w:vAlign w:val="center"/>
          </w:tcPr>
          <w:p>
            <w:pPr>
              <w:pStyle w:val="52"/>
              <w:jc w:val="center"/>
              <w:rPr>
                <w:kern w:val="0"/>
              </w:rPr>
            </w:pPr>
            <w:r>
              <w:rPr>
                <w:kern w:val="0"/>
              </w:rPr>
              <w:t>2.44</w:t>
            </w:r>
          </w:p>
        </w:tc>
      </w:tr>
    </w:tbl>
    <w:p>
      <w:pPr>
        <w:pStyle w:val="67"/>
      </w:pPr>
      <w:bookmarkStart w:id="104" w:name="_Toc470167382"/>
      <w:r>
        <w:rPr>
          <w:rFonts w:hint="eastAsia"/>
        </w:rPr>
        <w:t>4、</w:t>
      </w:r>
      <w:r>
        <w:t>求职花费</w:t>
      </w:r>
      <w:bookmarkEnd w:id="104"/>
    </w:p>
    <w:p>
      <w:pPr>
        <w:pStyle w:val="37"/>
        <w:ind w:firstLine="480"/>
      </w:pPr>
      <w:r>
        <w:rPr>
          <w:rFonts w:hint="eastAsia"/>
        </w:rPr>
        <w:t>调查显示，专科生用于求职的花费平均为3518.33元。</w:t>
      </w:r>
    </w:p>
    <w:p>
      <w:pPr>
        <w:pStyle w:val="53"/>
        <w:spacing w:before="312" w:after="156"/>
      </w:pPr>
      <w:r>
        <w:rPr>
          <w:rFonts w:hint="eastAsia"/>
        </w:rPr>
        <w:t>专科生求职花费</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12</w:t>
            </w:r>
          </w:p>
        </w:tc>
        <w:tc>
          <w:tcPr>
            <w:tcW w:w="1067" w:type="dxa"/>
            <w:vAlign w:val="center"/>
          </w:tcPr>
          <w:p>
            <w:pPr>
              <w:pStyle w:val="52"/>
              <w:jc w:val="center"/>
              <w:rPr>
                <w:kern w:val="0"/>
              </w:rPr>
            </w:pPr>
            <w:r>
              <w:rPr>
                <w:kern w:val="0"/>
              </w:rPr>
              <w:t>3000.00</w:t>
            </w:r>
          </w:p>
        </w:tc>
        <w:tc>
          <w:tcPr>
            <w:tcW w:w="1067" w:type="dxa"/>
            <w:shd w:val="clear" w:color="auto" w:fill="auto"/>
            <w:vAlign w:val="center"/>
          </w:tcPr>
          <w:p>
            <w:pPr>
              <w:pStyle w:val="52"/>
              <w:jc w:val="center"/>
              <w:rPr>
                <w:kern w:val="0"/>
              </w:rPr>
            </w:pPr>
            <w:r>
              <w:rPr>
                <w:kern w:val="0"/>
              </w:rPr>
              <w:t>3518.33</w:t>
            </w:r>
          </w:p>
        </w:tc>
        <w:tc>
          <w:tcPr>
            <w:tcW w:w="1068" w:type="dxa"/>
            <w:shd w:val="clear" w:color="auto" w:fill="auto"/>
            <w:vAlign w:val="center"/>
          </w:tcPr>
          <w:p>
            <w:pPr>
              <w:pStyle w:val="52"/>
              <w:jc w:val="center"/>
              <w:rPr>
                <w:kern w:val="0"/>
              </w:rPr>
            </w:pPr>
            <w:r>
              <w:rPr>
                <w:kern w:val="0"/>
              </w:rPr>
              <w:t>3727.98</w:t>
            </w:r>
          </w:p>
        </w:tc>
      </w:tr>
    </w:tbl>
    <w:p>
      <w:pPr>
        <w:pStyle w:val="52"/>
      </w:pPr>
    </w:p>
    <w:p>
      <w:pPr>
        <w:pStyle w:val="67"/>
      </w:pPr>
      <w:bookmarkStart w:id="105" w:name="_Toc470167383"/>
      <w:r>
        <w:rPr>
          <w:rFonts w:hint="eastAsia"/>
        </w:rPr>
        <w:t>5、</w:t>
      </w:r>
      <w:r>
        <w:t>求职渠道</w:t>
      </w:r>
      <w:bookmarkEnd w:id="105"/>
    </w:p>
    <w:p>
      <w:pPr>
        <w:pStyle w:val="37"/>
        <w:ind w:firstLine="480"/>
      </w:pPr>
      <w:r>
        <w:rPr>
          <w:rFonts w:hint="eastAsia"/>
        </w:rPr>
        <w:t>本题为多选题，结果显示，专科生最主要采用的三种求职渠道为校友资源、老师推荐、亲友渠道。总体来说，通过学校资源求职成功的比例达到所有渠道的</w:t>
      </w:r>
      <w:r>
        <w:t>66.7</w:t>
      </w:r>
      <w:r>
        <w:rPr>
          <w:rFonts w:hint="eastAsia"/>
        </w:rPr>
        <w:t>%。</w:t>
      </w:r>
    </w:p>
    <w:p>
      <w:pPr>
        <w:jc w:val="center"/>
      </w:pPr>
      <w:r>
        <w:rPr>
          <w:rFonts w:hint="eastAsia"/>
        </w:rPr>
        <w:drawing>
          <wp:inline distT="0" distB="0" distL="0" distR="0">
            <wp:extent cx="6191250" cy="3209925"/>
            <wp:effectExtent l="19050" t="0" r="19050" b="0"/>
            <wp:docPr id="4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59"/>
        <w:spacing w:before="156" w:after="312"/>
      </w:pPr>
      <w:r>
        <w:rPr>
          <w:rFonts w:hint="eastAsia"/>
        </w:rPr>
        <w:t>专科生求职渠道</w:t>
      </w:r>
    </w:p>
    <w:p>
      <w:pPr>
        <w:pStyle w:val="53"/>
        <w:spacing w:before="312" w:after="156"/>
      </w:pPr>
      <w:r>
        <w:rPr>
          <w:rFonts w:hint="eastAsia"/>
        </w:rPr>
        <w:t>专科生求职渠道</w:t>
      </w:r>
    </w:p>
    <w:tbl>
      <w:tblPr>
        <w:tblStyle w:val="33"/>
        <w:tblW w:w="305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10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106" w:type="dxa"/>
            <w:shd w:val="clear" w:color="auto" w:fill="auto"/>
            <w:vAlign w:val="center"/>
          </w:tcPr>
          <w:p>
            <w:pPr>
              <w:pStyle w:val="52"/>
              <w:ind w:firstLine="480"/>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学校组织的招聘会</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学校发布的招聘信息</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老师推荐</w:t>
            </w:r>
          </w:p>
        </w:tc>
        <w:tc>
          <w:tcPr>
            <w:tcW w:w="368" w:type="dxa"/>
            <w:shd w:val="clear" w:color="auto" w:fill="auto"/>
            <w:vAlign w:val="center"/>
          </w:tcPr>
          <w:p>
            <w:pPr>
              <w:pStyle w:val="52"/>
              <w:jc w:val="center"/>
              <w:rPr>
                <w:kern w:val="0"/>
              </w:rPr>
            </w:pPr>
            <w:r>
              <w:rPr>
                <w:kern w:val="0"/>
              </w:rPr>
              <w:t>6</w:t>
            </w:r>
          </w:p>
        </w:tc>
        <w:tc>
          <w:tcPr>
            <w:tcW w:w="584" w:type="dxa"/>
            <w:shd w:val="clear" w:color="auto" w:fill="auto"/>
            <w:vAlign w:val="center"/>
          </w:tcPr>
          <w:p>
            <w:pPr>
              <w:pStyle w:val="52"/>
              <w:jc w:val="center"/>
              <w:rPr>
                <w:kern w:val="0"/>
              </w:rPr>
            </w:pPr>
            <w:r>
              <w:rPr>
                <w:kern w:val="0"/>
              </w:rPr>
              <w:t>37.5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校友资源</w:t>
            </w:r>
          </w:p>
        </w:tc>
        <w:tc>
          <w:tcPr>
            <w:tcW w:w="368"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56.3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106" w:type="dxa"/>
            <w:shd w:val="clear" w:color="auto" w:fill="auto"/>
            <w:vAlign w:val="center"/>
          </w:tcPr>
          <w:p>
            <w:pPr>
              <w:pStyle w:val="52"/>
              <w:rPr>
                <w:kern w:val="0"/>
              </w:rPr>
            </w:pPr>
            <w:r>
              <w:rPr>
                <w:rFonts w:hint="eastAsia"/>
                <w:kern w:val="0"/>
              </w:rPr>
              <w:t>其他校园渠道</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6.3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社会渠道</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12.5</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用人单位自设渠道</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亲友渠道</w:t>
            </w:r>
          </w:p>
        </w:tc>
        <w:tc>
          <w:tcPr>
            <w:tcW w:w="368"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31.3</w:t>
            </w:r>
          </w:p>
        </w:tc>
      </w:tr>
    </w:tbl>
    <w:p>
      <w:pPr>
        <w:pStyle w:val="43"/>
        <w:spacing w:before="312" w:after="156"/>
      </w:pPr>
      <w:bookmarkStart w:id="106" w:name="_Toc470167384"/>
      <w:r>
        <w:rPr>
          <w:rFonts w:hint="eastAsia"/>
        </w:rPr>
        <w:t>四、本科生调查数据分析</w:t>
      </w:r>
      <w:bookmarkEnd w:id="106"/>
    </w:p>
    <w:p>
      <w:pPr>
        <w:pStyle w:val="44"/>
        <w:spacing w:before="156"/>
      </w:pPr>
      <w:bookmarkStart w:id="107" w:name="_Toc470167385"/>
      <w:r>
        <w:rPr>
          <w:rFonts w:hint="eastAsia"/>
        </w:rPr>
        <w:t>（一）本科生专业培养及就业创业教育反馈</w:t>
      </w:r>
      <w:bookmarkEnd w:id="107"/>
    </w:p>
    <w:p>
      <w:pPr>
        <w:pStyle w:val="67"/>
      </w:pPr>
      <w:bookmarkStart w:id="108" w:name="_Toc470167386"/>
      <w:r>
        <w:rPr>
          <w:rFonts w:hint="eastAsia"/>
        </w:rPr>
        <w:t>1、专业认同情况</w:t>
      </w:r>
      <w:bookmarkEnd w:id="108"/>
    </w:p>
    <w:p>
      <w:pPr>
        <w:pStyle w:val="70"/>
      </w:pPr>
      <w:r>
        <w:rPr>
          <w:rFonts w:hint="eastAsia"/>
        </w:rPr>
        <w:t>（1）选择本专业的方式</w:t>
      </w:r>
    </w:p>
    <w:p>
      <w:pPr>
        <w:pStyle w:val="75"/>
      </w:pPr>
      <w:bookmarkStart w:id="109" w:name="PO_33111"/>
      <w:bookmarkEnd w:id="109"/>
      <w:r>
        <w:rPr>
          <w:rFonts w:hint="eastAsia"/>
        </w:rPr>
        <w:t>①总体情况</w:t>
      </w:r>
    </w:p>
    <w:p>
      <w:pPr>
        <w:pStyle w:val="37"/>
        <w:ind w:firstLine="480"/>
      </w:pPr>
      <w:r>
        <w:rPr>
          <w:rFonts w:hint="eastAsia"/>
        </w:rPr>
        <w:t>调查本科生如何选择现有所学专业，90.3%的人表示是“自主选择”，3.1%的人表示是“父母意见”，4.4%的人表示是“他人推荐（除父母外）”，1.3%的人表示是“专业调剂”。</w:t>
      </w:r>
    </w:p>
    <w:p>
      <w:pPr>
        <w:jc w:val="center"/>
      </w:pPr>
      <w:r>
        <w:rPr>
          <w:rFonts w:hint="eastAsia"/>
        </w:rPr>
        <w:drawing>
          <wp:inline distT="0" distB="0" distL="0" distR="0">
            <wp:extent cx="6076950" cy="3077210"/>
            <wp:effectExtent l="19050" t="0" r="19050" b="8890"/>
            <wp:docPr id="1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59"/>
        <w:spacing w:before="156" w:after="312"/>
      </w:pPr>
      <w:r>
        <w:rPr>
          <w:rFonts w:hint="eastAsia"/>
        </w:rPr>
        <w:t>本科生选择本专业的方式</w:t>
      </w:r>
    </w:p>
    <w:p>
      <w:pPr>
        <w:pStyle w:val="75"/>
      </w:pPr>
      <w:r>
        <w:rPr>
          <w:rFonts w:hint="eastAsia"/>
        </w:rPr>
        <w:t>②不同专业本科生专业选择方式</w:t>
      </w:r>
    </w:p>
    <w:p>
      <w:pPr>
        <w:pStyle w:val="37"/>
        <w:ind w:firstLine="480"/>
      </w:pPr>
      <w:r>
        <w:rPr>
          <w:rFonts w:hint="eastAsia"/>
        </w:rPr>
        <w:t>就专业而言，卡方检验显示，不同专业本科生的专业选择方式存在显著性差异（χ²=83.88，p&lt;0.01）</w:t>
      </w:r>
      <w:r>
        <w:rPr>
          <w:rStyle w:val="32"/>
        </w:rPr>
        <w:footnoteReference w:id="0"/>
      </w:r>
      <w:r>
        <w:rPr>
          <w:rFonts w:hint="eastAsia"/>
        </w:rPr>
        <w:t>。本科生表示“自主选择”比例最高的专业是舞台服装等4个专业，表示“父母意见”比例最高的专业是舞台绘景，表示“他人推荐（除父母外）”比例最高的专业是舞台灯光，表示“专业调剂”比例最高的专业是舞台化装。</w:t>
      </w:r>
    </w:p>
    <w:p>
      <w:pPr>
        <w:jc w:val="center"/>
      </w:pPr>
      <w:r>
        <w:rPr>
          <w:rFonts w:hint="eastAsia"/>
        </w:rPr>
        <w:drawing>
          <wp:inline distT="0" distB="0" distL="0" distR="0">
            <wp:extent cx="5274310" cy="8391525"/>
            <wp:effectExtent l="19050" t="0" r="21590" b="0"/>
            <wp:docPr id="37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59"/>
        <w:spacing w:before="156" w:after="312"/>
      </w:pPr>
      <w:r>
        <w:rPr>
          <w:rFonts w:hint="eastAsia"/>
        </w:rPr>
        <w:t>不同专业本科生选择本专业的方式</w:t>
      </w:r>
    </w:p>
    <w:p>
      <w:pPr>
        <w:pStyle w:val="53"/>
        <w:spacing w:before="312" w:after="156"/>
      </w:pPr>
      <w:r>
        <w:rPr>
          <w:rFonts w:hint="eastAsia"/>
        </w:rPr>
        <w:t>本科生选择本专业的方式</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1"/>
        <w:gridCol w:w="998"/>
        <w:gridCol w:w="965"/>
        <w:gridCol w:w="2051"/>
        <w:gridCol w:w="981"/>
        <w:gridCol w:w="611"/>
        <w:gridCol w:w="1185"/>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89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5606"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85"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89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continue"/>
            <w:shd w:val="clear" w:color="auto" w:fill="auto"/>
            <w:vAlign w:val="center"/>
          </w:tcPr>
          <w:p>
            <w:pPr>
              <w:widowControl/>
              <w:jc w:val="center"/>
              <w:rPr>
                <w:rFonts w:ascii="宋体" w:hAnsi="宋体" w:cs="宋体"/>
                <w:color w:val="000000"/>
                <w:kern w:val="0"/>
                <w:szCs w:val="21"/>
              </w:rPr>
            </w:pPr>
          </w:p>
        </w:tc>
        <w:tc>
          <w:tcPr>
            <w:tcW w:w="998"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自主选择</w:t>
            </w:r>
          </w:p>
        </w:tc>
        <w:tc>
          <w:tcPr>
            <w:tcW w:w="965"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父母意见</w:t>
            </w:r>
          </w:p>
        </w:tc>
        <w:tc>
          <w:tcPr>
            <w:tcW w:w="2051"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他人推荐（除父母外）</w:t>
            </w:r>
          </w:p>
        </w:tc>
        <w:tc>
          <w:tcPr>
            <w:tcW w:w="981"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专业调剂</w:t>
            </w:r>
          </w:p>
        </w:tc>
        <w:tc>
          <w:tcPr>
            <w:tcW w:w="611"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其他</w:t>
            </w:r>
          </w:p>
        </w:tc>
        <w:tc>
          <w:tcPr>
            <w:tcW w:w="1185"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表演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41</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97.6</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x²=83.88**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播音与主持</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95.7</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4.3</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导演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92.3</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7.7</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电视剧创作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舞台灯光</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舞台服装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舞台化装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舞台绘景</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戏剧学</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92.0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戏剧影视美术设计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演出制作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84.0</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影视编导</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92.3</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7.7</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896" w:type="dxa"/>
            <w:shd w:val="clear" w:color="auto" w:fill="auto"/>
            <w:vAlign w:val="center"/>
          </w:tcPr>
          <w:p>
            <w:pPr>
              <w:widowControl/>
              <w:rPr>
                <w:rFonts w:ascii="宋体" w:hAnsi="宋体" w:cs="Arial"/>
                <w:kern w:val="0"/>
                <w:szCs w:val="21"/>
              </w:rPr>
            </w:pPr>
            <w:r>
              <w:rPr>
                <w:rFonts w:hint="eastAsia" w:ascii="宋体" w:hAnsi="宋体" w:cs="Arial"/>
                <w:kern w:val="0"/>
                <w:szCs w:val="21"/>
              </w:rPr>
              <w:t>制片管理</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92.6</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185"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53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226</w:t>
            </w:r>
          </w:p>
        </w:tc>
        <w:tc>
          <w:tcPr>
            <w:tcW w:w="998"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90.3</w:t>
            </w:r>
          </w:p>
        </w:tc>
        <w:tc>
          <w:tcPr>
            <w:tcW w:w="965"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3.1</w:t>
            </w:r>
          </w:p>
        </w:tc>
        <w:tc>
          <w:tcPr>
            <w:tcW w:w="205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4.4</w:t>
            </w:r>
          </w:p>
        </w:tc>
        <w:tc>
          <w:tcPr>
            <w:tcW w:w="98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611"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0.9</w:t>
            </w:r>
          </w:p>
        </w:tc>
        <w:tc>
          <w:tcPr>
            <w:tcW w:w="1185" w:type="dxa"/>
            <w:shd w:val="clear" w:color="auto" w:fill="auto"/>
            <w:vAlign w:val="center"/>
          </w:tcPr>
          <w:p>
            <w:pPr>
              <w:widowControl/>
              <w:jc w:val="center"/>
              <w:rPr>
                <w:rFonts w:ascii="Times New Roman" w:hAnsi="Times New Roman" w:cs="Times New Roman"/>
                <w:color w:val="000000"/>
                <w:kern w:val="0"/>
                <w:szCs w:val="21"/>
              </w:rPr>
            </w:pPr>
          </w:p>
        </w:tc>
      </w:tr>
    </w:tbl>
    <w:p/>
    <w:p>
      <w:pPr>
        <w:pStyle w:val="70"/>
      </w:pPr>
      <w:r>
        <w:rPr>
          <w:rFonts w:hint="eastAsia"/>
        </w:rPr>
        <w:t>（2）对本专业的态度</w:t>
      </w:r>
    </w:p>
    <w:p>
      <w:pPr>
        <w:pStyle w:val="75"/>
      </w:pPr>
      <w:bookmarkStart w:id="110" w:name="PO_33112"/>
      <w:bookmarkEnd w:id="110"/>
      <w:r>
        <w:rPr>
          <w:rFonts w:hint="eastAsia"/>
        </w:rPr>
        <w:t>①总体情况</w:t>
      </w:r>
    </w:p>
    <w:p>
      <w:pPr>
        <w:pStyle w:val="37"/>
        <w:ind w:firstLine="480"/>
      </w:pPr>
      <w:r>
        <w:rPr>
          <w:rFonts w:hint="eastAsia"/>
        </w:rPr>
        <w:t>调查对本专业的态度时，88.9%的本科生表示“很喜欢”或“喜欢”所学专业，10.2%认为“不好说”，0.8%则表示“不喜欢”或“很不喜欢”所学专业。</w:t>
      </w:r>
    </w:p>
    <w:p>
      <w:pPr>
        <w:jc w:val="center"/>
      </w:pPr>
      <w:r>
        <w:rPr>
          <w:rFonts w:hint="eastAsia"/>
        </w:rPr>
        <w:drawing>
          <wp:inline distT="0" distB="0" distL="0" distR="0">
            <wp:extent cx="6076950" cy="2819400"/>
            <wp:effectExtent l="0" t="0" r="0" b="0"/>
            <wp:docPr id="3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59"/>
        <w:spacing w:before="156" w:after="312"/>
      </w:pPr>
      <w:r>
        <w:rPr>
          <w:rFonts w:hint="eastAsia"/>
        </w:rPr>
        <w:t>本科生对待本专业的态度</w:t>
      </w:r>
    </w:p>
    <w:p>
      <w:pPr>
        <w:pStyle w:val="75"/>
      </w:pPr>
      <w:r>
        <w:rPr>
          <w:rFonts w:hint="eastAsia"/>
        </w:rPr>
        <w:t>②不同专业本科生对本专业的喜欢程度</w:t>
      </w:r>
    </w:p>
    <w:p>
      <w:pPr>
        <w:pStyle w:val="37"/>
        <w:ind w:firstLine="480"/>
      </w:pPr>
      <w:r>
        <w:rPr>
          <w:rFonts w:hint="eastAsia"/>
        </w:rPr>
        <w:t>就专业而言，方差检验显示，不同专业的本科生对本专业的喜欢程度存在非常显著性差异（F=4.36，p&lt;0.001）。其中，对本专业的喜欢程度排名前三的专业依次为：影视编导、导演、表演。</w:t>
      </w:r>
    </w:p>
    <w:p>
      <w:pPr>
        <w:jc w:val="center"/>
      </w:pPr>
      <w:r>
        <w:rPr>
          <w:rFonts w:hint="eastAsia"/>
        </w:rPr>
        <w:drawing>
          <wp:inline distT="0" distB="0" distL="0" distR="0">
            <wp:extent cx="5791200" cy="8305800"/>
            <wp:effectExtent l="19050" t="0" r="19050" b="0"/>
            <wp:docPr id="3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59"/>
        <w:spacing w:before="156" w:after="312"/>
      </w:pPr>
      <w:r>
        <w:rPr>
          <w:rFonts w:hint="eastAsia"/>
        </w:rPr>
        <w:t>不同专业本科生对待本专业的态度</w:t>
      </w:r>
    </w:p>
    <w:p>
      <w:pPr>
        <w:pStyle w:val="53"/>
        <w:spacing w:before="312" w:after="156"/>
      </w:pPr>
      <w:r>
        <w:rPr>
          <w:rFonts w:hint="eastAsia"/>
        </w:rPr>
        <w:t>本科生对待本专业的态度</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25"/>
        <w:gridCol w:w="1896"/>
        <w:gridCol w:w="536"/>
        <w:gridCol w:w="636"/>
        <w:gridCol w:w="846"/>
        <w:gridCol w:w="831"/>
        <w:gridCol w:w="695"/>
        <w:gridCol w:w="837"/>
        <w:gridCol w:w="825"/>
        <w:gridCol w:w="1023"/>
        <w:gridCol w:w="1104"/>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11"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04"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25"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3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很喜欢</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喜欢</w:t>
            </w:r>
          </w:p>
        </w:tc>
        <w:tc>
          <w:tcPr>
            <w:tcW w:w="837"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2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不喜欢</w:t>
            </w:r>
          </w:p>
        </w:tc>
        <w:tc>
          <w:tcPr>
            <w:tcW w:w="1023"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很不喜欢</w:t>
            </w:r>
          </w:p>
        </w:tc>
        <w:tc>
          <w:tcPr>
            <w:tcW w:w="11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4.76</w:t>
            </w:r>
          </w:p>
        </w:tc>
        <w:tc>
          <w:tcPr>
            <w:tcW w:w="846" w:type="dxa"/>
            <w:shd w:val="clear" w:color="auto" w:fill="auto"/>
            <w:vAlign w:val="center"/>
          </w:tcPr>
          <w:p>
            <w:pPr>
              <w:widowControl/>
              <w:jc w:val="center"/>
              <w:rPr>
                <w:color w:val="000000"/>
                <w:kern w:val="0"/>
                <w:szCs w:val="21"/>
              </w:rPr>
            </w:pPr>
            <w:r>
              <w:rPr>
                <w:color w:val="000000"/>
                <w:kern w:val="0"/>
                <w:szCs w:val="21"/>
              </w:rPr>
              <w:t>0.49</w:t>
            </w:r>
          </w:p>
        </w:tc>
        <w:tc>
          <w:tcPr>
            <w:tcW w:w="831" w:type="dxa"/>
            <w:vAlign w:val="center"/>
          </w:tcPr>
          <w:p>
            <w:pPr>
              <w:widowControl/>
              <w:jc w:val="center"/>
              <w:rPr>
                <w:color w:val="000000"/>
                <w:kern w:val="0"/>
                <w:szCs w:val="21"/>
              </w:rPr>
            </w:pPr>
            <w:r>
              <w:rPr>
                <w:color w:val="000000"/>
                <w:kern w:val="0"/>
                <w:szCs w:val="21"/>
              </w:rPr>
              <w:t>78.0</w:t>
            </w:r>
          </w:p>
        </w:tc>
        <w:tc>
          <w:tcPr>
            <w:tcW w:w="695" w:type="dxa"/>
            <w:vAlign w:val="center"/>
          </w:tcPr>
          <w:p>
            <w:pPr>
              <w:widowControl/>
              <w:jc w:val="center"/>
              <w:rPr>
                <w:color w:val="000000"/>
                <w:kern w:val="0"/>
                <w:szCs w:val="21"/>
              </w:rPr>
            </w:pPr>
            <w:r>
              <w:rPr>
                <w:color w:val="000000"/>
                <w:kern w:val="0"/>
                <w:szCs w:val="21"/>
              </w:rPr>
              <w:t>19.5</w:t>
            </w:r>
          </w:p>
        </w:tc>
        <w:tc>
          <w:tcPr>
            <w:tcW w:w="837" w:type="dxa"/>
            <w:vAlign w:val="center"/>
          </w:tcPr>
          <w:p>
            <w:pPr>
              <w:widowControl/>
              <w:jc w:val="center"/>
              <w:rPr>
                <w:color w:val="000000"/>
                <w:kern w:val="0"/>
                <w:szCs w:val="21"/>
              </w:rPr>
            </w:pPr>
            <w:r>
              <w:rPr>
                <w:color w:val="000000"/>
                <w:kern w:val="0"/>
                <w:szCs w:val="21"/>
              </w:rPr>
              <w:t>2.4</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restart"/>
            <w:shd w:val="clear" w:color="auto" w:fill="auto"/>
            <w:vAlign w:val="center"/>
          </w:tcPr>
          <w:p>
            <w:pPr>
              <w:jc w:val="center"/>
              <w:rPr>
                <w:color w:val="000000"/>
                <w:kern w:val="0"/>
                <w:szCs w:val="21"/>
              </w:rPr>
            </w:pPr>
            <w:r>
              <w:rPr>
                <w:color w:val="000000"/>
                <w:kern w:val="0"/>
                <w:szCs w:val="21"/>
              </w:rPr>
              <w:t>F=4.36***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4.57</w:t>
            </w:r>
          </w:p>
        </w:tc>
        <w:tc>
          <w:tcPr>
            <w:tcW w:w="846" w:type="dxa"/>
            <w:shd w:val="clear" w:color="auto" w:fill="auto"/>
            <w:vAlign w:val="center"/>
          </w:tcPr>
          <w:p>
            <w:pPr>
              <w:widowControl/>
              <w:jc w:val="center"/>
              <w:rPr>
                <w:color w:val="000000"/>
                <w:kern w:val="0"/>
                <w:szCs w:val="21"/>
              </w:rPr>
            </w:pPr>
            <w:r>
              <w:rPr>
                <w:color w:val="000000"/>
                <w:kern w:val="0"/>
                <w:szCs w:val="21"/>
              </w:rPr>
              <w:t>0.51</w:t>
            </w:r>
          </w:p>
        </w:tc>
        <w:tc>
          <w:tcPr>
            <w:tcW w:w="831" w:type="dxa"/>
            <w:vAlign w:val="center"/>
          </w:tcPr>
          <w:p>
            <w:pPr>
              <w:widowControl/>
              <w:jc w:val="center"/>
              <w:rPr>
                <w:color w:val="000000"/>
                <w:kern w:val="0"/>
                <w:szCs w:val="21"/>
              </w:rPr>
            </w:pPr>
            <w:r>
              <w:rPr>
                <w:color w:val="000000"/>
                <w:kern w:val="0"/>
                <w:szCs w:val="21"/>
              </w:rPr>
              <w:t>56.5</w:t>
            </w:r>
          </w:p>
        </w:tc>
        <w:tc>
          <w:tcPr>
            <w:tcW w:w="695" w:type="dxa"/>
            <w:vAlign w:val="center"/>
          </w:tcPr>
          <w:p>
            <w:pPr>
              <w:widowControl/>
              <w:jc w:val="center"/>
              <w:rPr>
                <w:color w:val="000000"/>
                <w:kern w:val="0"/>
                <w:szCs w:val="21"/>
              </w:rPr>
            </w:pPr>
            <w:r>
              <w:rPr>
                <w:color w:val="000000"/>
                <w:kern w:val="0"/>
                <w:szCs w:val="21"/>
              </w:rPr>
              <w:t>43.5</w:t>
            </w:r>
          </w:p>
        </w:tc>
        <w:tc>
          <w:tcPr>
            <w:tcW w:w="837" w:type="dxa"/>
            <w:vAlign w:val="center"/>
          </w:tcPr>
          <w:p>
            <w:pPr>
              <w:widowControl/>
              <w:jc w:val="center"/>
              <w:rPr>
                <w:color w:val="000000"/>
                <w:kern w:val="0"/>
                <w:szCs w:val="21"/>
              </w:rPr>
            </w:pPr>
            <w:r>
              <w:rPr>
                <w:color w:val="000000"/>
                <w:kern w:val="0"/>
                <w:szCs w:val="21"/>
              </w:rPr>
              <w:t>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4.77</w:t>
            </w:r>
          </w:p>
        </w:tc>
        <w:tc>
          <w:tcPr>
            <w:tcW w:w="846" w:type="dxa"/>
            <w:shd w:val="clear" w:color="auto" w:fill="auto"/>
            <w:vAlign w:val="center"/>
          </w:tcPr>
          <w:p>
            <w:pPr>
              <w:widowControl/>
              <w:jc w:val="center"/>
              <w:rPr>
                <w:color w:val="000000"/>
                <w:kern w:val="0"/>
                <w:szCs w:val="21"/>
              </w:rPr>
            </w:pPr>
            <w:r>
              <w:rPr>
                <w:color w:val="000000"/>
                <w:kern w:val="0"/>
                <w:szCs w:val="21"/>
              </w:rPr>
              <w:t>0.60</w:t>
            </w:r>
          </w:p>
        </w:tc>
        <w:tc>
          <w:tcPr>
            <w:tcW w:w="831" w:type="dxa"/>
            <w:vAlign w:val="center"/>
          </w:tcPr>
          <w:p>
            <w:pPr>
              <w:widowControl/>
              <w:jc w:val="center"/>
              <w:rPr>
                <w:color w:val="000000"/>
                <w:kern w:val="0"/>
                <w:szCs w:val="21"/>
              </w:rPr>
            </w:pPr>
            <w:r>
              <w:rPr>
                <w:color w:val="000000"/>
                <w:kern w:val="0"/>
                <w:szCs w:val="21"/>
              </w:rPr>
              <w:t>84.6</w:t>
            </w:r>
          </w:p>
        </w:tc>
        <w:tc>
          <w:tcPr>
            <w:tcW w:w="695" w:type="dxa"/>
            <w:vAlign w:val="center"/>
          </w:tcPr>
          <w:p>
            <w:pPr>
              <w:widowControl/>
              <w:jc w:val="center"/>
              <w:rPr>
                <w:color w:val="000000"/>
                <w:kern w:val="0"/>
                <w:szCs w:val="21"/>
              </w:rPr>
            </w:pPr>
            <w:r>
              <w:rPr>
                <w:color w:val="000000"/>
                <w:kern w:val="0"/>
                <w:szCs w:val="21"/>
              </w:rPr>
              <w:t>7.7</w:t>
            </w:r>
          </w:p>
        </w:tc>
        <w:tc>
          <w:tcPr>
            <w:tcW w:w="837" w:type="dxa"/>
            <w:vAlign w:val="center"/>
          </w:tcPr>
          <w:p>
            <w:pPr>
              <w:widowControl/>
              <w:jc w:val="center"/>
              <w:rPr>
                <w:color w:val="000000"/>
                <w:kern w:val="0"/>
                <w:szCs w:val="21"/>
              </w:rPr>
            </w:pPr>
            <w:r>
              <w:rPr>
                <w:color w:val="000000"/>
                <w:kern w:val="0"/>
                <w:szCs w:val="21"/>
              </w:rPr>
              <w:t>7.7</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31"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37" w:type="dxa"/>
            <w:vAlign w:val="center"/>
          </w:tcPr>
          <w:p>
            <w:pPr>
              <w:widowControl/>
              <w:jc w:val="center"/>
              <w:rPr>
                <w:color w:val="000000"/>
                <w:kern w:val="0"/>
                <w:szCs w:val="21"/>
              </w:rPr>
            </w:pPr>
            <w:r>
              <w:rPr>
                <w:color w:val="000000"/>
                <w:kern w:val="0"/>
                <w:szCs w:val="21"/>
              </w:rPr>
              <w:t>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4.30</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831" w:type="dxa"/>
            <w:vAlign w:val="center"/>
          </w:tcPr>
          <w:p>
            <w:pPr>
              <w:widowControl/>
              <w:jc w:val="center"/>
              <w:rPr>
                <w:color w:val="000000"/>
                <w:kern w:val="0"/>
                <w:szCs w:val="21"/>
              </w:rPr>
            </w:pPr>
            <w:r>
              <w:rPr>
                <w:color w:val="000000"/>
                <w:kern w:val="0"/>
                <w:szCs w:val="21"/>
              </w:rPr>
              <w:t>40.0</w:t>
            </w:r>
          </w:p>
        </w:tc>
        <w:tc>
          <w:tcPr>
            <w:tcW w:w="695" w:type="dxa"/>
            <w:vAlign w:val="center"/>
          </w:tcPr>
          <w:p>
            <w:pPr>
              <w:widowControl/>
              <w:jc w:val="center"/>
              <w:rPr>
                <w:color w:val="000000"/>
                <w:kern w:val="0"/>
                <w:szCs w:val="21"/>
              </w:rPr>
            </w:pPr>
            <w:r>
              <w:rPr>
                <w:color w:val="000000"/>
                <w:kern w:val="0"/>
                <w:szCs w:val="21"/>
              </w:rPr>
              <w:t>50.0</w:t>
            </w:r>
          </w:p>
        </w:tc>
        <w:tc>
          <w:tcPr>
            <w:tcW w:w="837" w:type="dxa"/>
            <w:vAlign w:val="center"/>
          </w:tcPr>
          <w:p>
            <w:pPr>
              <w:widowControl/>
              <w:jc w:val="center"/>
              <w:rPr>
                <w:color w:val="000000"/>
                <w:kern w:val="0"/>
                <w:szCs w:val="21"/>
              </w:rPr>
            </w:pPr>
            <w:r>
              <w:rPr>
                <w:color w:val="000000"/>
                <w:kern w:val="0"/>
                <w:szCs w:val="21"/>
              </w:rPr>
              <w:t>10.0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0.89</w:t>
            </w:r>
          </w:p>
        </w:tc>
        <w:tc>
          <w:tcPr>
            <w:tcW w:w="831" w:type="dxa"/>
            <w:vAlign w:val="center"/>
          </w:tcPr>
          <w:p>
            <w:pPr>
              <w:widowControl/>
              <w:jc w:val="center"/>
              <w:rPr>
                <w:color w:val="000000"/>
                <w:kern w:val="0"/>
                <w:szCs w:val="21"/>
              </w:rPr>
            </w:pPr>
            <w:r>
              <w:rPr>
                <w:color w:val="000000"/>
                <w:kern w:val="0"/>
                <w:szCs w:val="21"/>
              </w:rPr>
              <w:t>50.0</w:t>
            </w:r>
          </w:p>
        </w:tc>
        <w:tc>
          <w:tcPr>
            <w:tcW w:w="695" w:type="dxa"/>
            <w:vAlign w:val="center"/>
          </w:tcPr>
          <w:p>
            <w:pPr>
              <w:widowControl/>
              <w:jc w:val="center"/>
              <w:rPr>
                <w:color w:val="000000"/>
                <w:kern w:val="0"/>
                <w:szCs w:val="21"/>
              </w:rPr>
            </w:pPr>
            <w:r>
              <w:rPr>
                <w:color w:val="000000"/>
                <w:kern w:val="0"/>
                <w:szCs w:val="21"/>
              </w:rPr>
              <w:t>25.0</w:t>
            </w:r>
          </w:p>
        </w:tc>
        <w:tc>
          <w:tcPr>
            <w:tcW w:w="837" w:type="dxa"/>
            <w:vAlign w:val="center"/>
          </w:tcPr>
          <w:p>
            <w:pPr>
              <w:widowControl/>
              <w:jc w:val="center"/>
              <w:rPr>
                <w:color w:val="000000"/>
                <w:kern w:val="0"/>
                <w:szCs w:val="21"/>
              </w:rPr>
            </w:pPr>
            <w:r>
              <w:rPr>
                <w:color w:val="000000"/>
                <w:kern w:val="0"/>
                <w:szCs w:val="21"/>
              </w:rPr>
              <w:t>25.0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31"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60.0</w:t>
            </w:r>
          </w:p>
        </w:tc>
        <w:tc>
          <w:tcPr>
            <w:tcW w:w="837" w:type="dxa"/>
            <w:vAlign w:val="center"/>
          </w:tcPr>
          <w:p>
            <w:pPr>
              <w:widowControl/>
              <w:jc w:val="center"/>
              <w:rPr>
                <w:color w:val="000000"/>
                <w:kern w:val="0"/>
                <w:szCs w:val="21"/>
              </w:rPr>
            </w:pPr>
            <w:r>
              <w:rPr>
                <w:color w:val="000000"/>
                <w:kern w:val="0"/>
                <w:szCs w:val="21"/>
              </w:rPr>
              <w:t>20.0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3.83</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831" w:type="dxa"/>
            <w:vAlign w:val="center"/>
          </w:tcPr>
          <w:p>
            <w:pPr>
              <w:widowControl/>
              <w:jc w:val="center"/>
              <w:rPr>
                <w:color w:val="000000"/>
                <w:kern w:val="0"/>
                <w:szCs w:val="21"/>
              </w:rPr>
            </w:pPr>
            <w:r>
              <w:rPr>
                <w:color w:val="000000"/>
                <w:kern w:val="0"/>
                <w:szCs w:val="21"/>
              </w:rPr>
              <w:t>16.7</w:t>
            </w:r>
          </w:p>
        </w:tc>
        <w:tc>
          <w:tcPr>
            <w:tcW w:w="695" w:type="dxa"/>
            <w:vAlign w:val="center"/>
          </w:tcPr>
          <w:p>
            <w:pPr>
              <w:widowControl/>
              <w:jc w:val="center"/>
              <w:rPr>
                <w:color w:val="000000"/>
                <w:kern w:val="0"/>
                <w:szCs w:val="21"/>
              </w:rPr>
            </w:pPr>
            <w:r>
              <w:rPr>
                <w:color w:val="000000"/>
                <w:kern w:val="0"/>
                <w:szCs w:val="21"/>
              </w:rPr>
              <w:t>58.3</w:t>
            </w:r>
          </w:p>
        </w:tc>
        <w:tc>
          <w:tcPr>
            <w:tcW w:w="837" w:type="dxa"/>
            <w:vAlign w:val="center"/>
          </w:tcPr>
          <w:p>
            <w:pPr>
              <w:widowControl/>
              <w:jc w:val="center"/>
              <w:rPr>
                <w:color w:val="000000"/>
                <w:kern w:val="0"/>
                <w:szCs w:val="21"/>
              </w:rPr>
            </w:pPr>
            <w:r>
              <w:rPr>
                <w:color w:val="000000"/>
                <w:kern w:val="0"/>
                <w:szCs w:val="21"/>
              </w:rPr>
              <w:t>16.7</w:t>
            </w:r>
          </w:p>
        </w:tc>
        <w:tc>
          <w:tcPr>
            <w:tcW w:w="825" w:type="dxa"/>
            <w:vAlign w:val="center"/>
          </w:tcPr>
          <w:p>
            <w:pPr>
              <w:widowControl/>
              <w:jc w:val="center"/>
              <w:rPr>
                <w:color w:val="000000"/>
                <w:kern w:val="0"/>
                <w:szCs w:val="21"/>
              </w:rPr>
            </w:pPr>
            <w:r>
              <w:rPr>
                <w:color w:val="000000"/>
                <w:kern w:val="0"/>
                <w:szCs w:val="21"/>
              </w:rPr>
              <w:t>8.3</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4.44</w:t>
            </w:r>
          </w:p>
        </w:tc>
        <w:tc>
          <w:tcPr>
            <w:tcW w:w="846" w:type="dxa"/>
            <w:shd w:val="clear" w:color="auto" w:fill="auto"/>
            <w:vAlign w:val="center"/>
          </w:tcPr>
          <w:p>
            <w:pPr>
              <w:widowControl/>
              <w:jc w:val="center"/>
              <w:rPr>
                <w:color w:val="000000"/>
                <w:kern w:val="0"/>
                <w:szCs w:val="21"/>
              </w:rPr>
            </w:pPr>
            <w:r>
              <w:rPr>
                <w:color w:val="000000"/>
                <w:kern w:val="0"/>
                <w:szCs w:val="21"/>
              </w:rPr>
              <w:t>0.53</w:t>
            </w:r>
          </w:p>
        </w:tc>
        <w:tc>
          <w:tcPr>
            <w:tcW w:w="831" w:type="dxa"/>
            <w:vAlign w:val="center"/>
          </w:tcPr>
          <w:p>
            <w:pPr>
              <w:widowControl/>
              <w:jc w:val="center"/>
              <w:rPr>
                <w:color w:val="000000"/>
                <w:kern w:val="0"/>
                <w:szCs w:val="21"/>
              </w:rPr>
            </w:pPr>
            <w:r>
              <w:rPr>
                <w:color w:val="000000"/>
                <w:kern w:val="0"/>
                <w:szCs w:val="21"/>
              </w:rPr>
              <w:t>44.4</w:t>
            </w:r>
          </w:p>
        </w:tc>
        <w:tc>
          <w:tcPr>
            <w:tcW w:w="695" w:type="dxa"/>
            <w:vAlign w:val="center"/>
          </w:tcPr>
          <w:p>
            <w:pPr>
              <w:widowControl/>
              <w:jc w:val="center"/>
              <w:rPr>
                <w:color w:val="000000"/>
                <w:kern w:val="0"/>
                <w:szCs w:val="21"/>
              </w:rPr>
            </w:pPr>
            <w:r>
              <w:rPr>
                <w:color w:val="000000"/>
                <w:kern w:val="0"/>
                <w:szCs w:val="21"/>
              </w:rPr>
              <w:t>55.6</w:t>
            </w:r>
          </w:p>
        </w:tc>
        <w:tc>
          <w:tcPr>
            <w:tcW w:w="837" w:type="dxa"/>
            <w:vAlign w:val="center"/>
          </w:tcPr>
          <w:p>
            <w:pPr>
              <w:widowControl/>
              <w:jc w:val="center"/>
              <w:rPr>
                <w:color w:val="000000"/>
                <w:kern w:val="0"/>
                <w:szCs w:val="21"/>
              </w:rPr>
            </w:pPr>
            <w:r>
              <w:rPr>
                <w:color w:val="000000"/>
                <w:kern w:val="0"/>
                <w:szCs w:val="21"/>
              </w:rPr>
              <w:t>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4.45</w:t>
            </w:r>
          </w:p>
        </w:tc>
        <w:tc>
          <w:tcPr>
            <w:tcW w:w="846" w:type="dxa"/>
            <w:shd w:val="clear" w:color="auto" w:fill="auto"/>
            <w:vAlign w:val="center"/>
          </w:tcPr>
          <w:p>
            <w:pPr>
              <w:widowControl/>
              <w:jc w:val="center"/>
              <w:rPr>
                <w:color w:val="000000"/>
                <w:kern w:val="0"/>
                <w:szCs w:val="21"/>
              </w:rPr>
            </w:pPr>
            <w:r>
              <w:rPr>
                <w:color w:val="000000"/>
                <w:kern w:val="0"/>
                <w:szCs w:val="21"/>
              </w:rPr>
              <w:t>0.69</w:t>
            </w:r>
          </w:p>
        </w:tc>
        <w:tc>
          <w:tcPr>
            <w:tcW w:w="831" w:type="dxa"/>
            <w:vAlign w:val="center"/>
          </w:tcPr>
          <w:p>
            <w:pPr>
              <w:widowControl/>
              <w:jc w:val="center"/>
              <w:rPr>
                <w:color w:val="000000"/>
                <w:kern w:val="0"/>
                <w:szCs w:val="21"/>
              </w:rPr>
            </w:pPr>
            <w:r>
              <w:rPr>
                <w:color w:val="000000"/>
                <w:kern w:val="0"/>
                <w:szCs w:val="21"/>
              </w:rPr>
              <w:t>54.5</w:t>
            </w:r>
          </w:p>
        </w:tc>
        <w:tc>
          <w:tcPr>
            <w:tcW w:w="695" w:type="dxa"/>
            <w:vAlign w:val="center"/>
          </w:tcPr>
          <w:p>
            <w:pPr>
              <w:widowControl/>
              <w:jc w:val="center"/>
              <w:rPr>
                <w:color w:val="000000"/>
                <w:kern w:val="0"/>
                <w:szCs w:val="21"/>
              </w:rPr>
            </w:pPr>
            <w:r>
              <w:rPr>
                <w:color w:val="000000"/>
                <w:kern w:val="0"/>
                <w:szCs w:val="21"/>
              </w:rPr>
              <w:t>36.4</w:t>
            </w:r>
          </w:p>
        </w:tc>
        <w:tc>
          <w:tcPr>
            <w:tcW w:w="837" w:type="dxa"/>
            <w:vAlign w:val="center"/>
          </w:tcPr>
          <w:p>
            <w:pPr>
              <w:widowControl/>
              <w:jc w:val="center"/>
              <w:rPr>
                <w:color w:val="000000"/>
                <w:kern w:val="0"/>
                <w:szCs w:val="21"/>
              </w:rPr>
            </w:pPr>
            <w:r>
              <w:rPr>
                <w:color w:val="000000"/>
                <w:kern w:val="0"/>
                <w:szCs w:val="21"/>
              </w:rPr>
              <w:t>9.1</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4.28</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831" w:type="dxa"/>
            <w:vAlign w:val="center"/>
          </w:tcPr>
          <w:p>
            <w:pPr>
              <w:widowControl/>
              <w:jc w:val="center"/>
              <w:rPr>
                <w:color w:val="000000"/>
                <w:kern w:val="0"/>
                <w:szCs w:val="21"/>
              </w:rPr>
            </w:pPr>
            <w:r>
              <w:rPr>
                <w:color w:val="000000"/>
                <w:kern w:val="0"/>
                <w:szCs w:val="21"/>
              </w:rPr>
              <w:t>40.0</w:t>
            </w:r>
          </w:p>
        </w:tc>
        <w:tc>
          <w:tcPr>
            <w:tcW w:w="695" w:type="dxa"/>
            <w:vAlign w:val="center"/>
          </w:tcPr>
          <w:p>
            <w:pPr>
              <w:widowControl/>
              <w:jc w:val="center"/>
              <w:rPr>
                <w:color w:val="000000"/>
                <w:kern w:val="0"/>
                <w:szCs w:val="21"/>
              </w:rPr>
            </w:pPr>
            <w:r>
              <w:rPr>
                <w:color w:val="000000"/>
                <w:kern w:val="0"/>
                <w:szCs w:val="21"/>
              </w:rPr>
              <w:t>48.0</w:t>
            </w:r>
          </w:p>
        </w:tc>
        <w:tc>
          <w:tcPr>
            <w:tcW w:w="837" w:type="dxa"/>
            <w:vAlign w:val="center"/>
          </w:tcPr>
          <w:p>
            <w:pPr>
              <w:widowControl/>
              <w:jc w:val="center"/>
              <w:rPr>
                <w:color w:val="000000"/>
                <w:kern w:val="0"/>
                <w:szCs w:val="21"/>
              </w:rPr>
            </w:pPr>
            <w:r>
              <w:rPr>
                <w:color w:val="000000"/>
                <w:kern w:val="0"/>
                <w:szCs w:val="21"/>
              </w:rPr>
              <w:t>12.0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31"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0.0</w:t>
            </w:r>
          </w:p>
        </w:tc>
        <w:tc>
          <w:tcPr>
            <w:tcW w:w="837" w:type="dxa"/>
            <w:vAlign w:val="center"/>
          </w:tcPr>
          <w:p>
            <w:pPr>
              <w:widowControl/>
              <w:jc w:val="center"/>
              <w:rPr>
                <w:color w:val="000000"/>
                <w:kern w:val="0"/>
                <w:szCs w:val="21"/>
              </w:rPr>
            </w:pPr>
            <w:r>
              <w:rPr>
                <w:color w:val="000000"/>
                <w:kern w:val="0"/>
                <w:szCs w:val="21"/>
              </w:rPr>
              <w:t>100.0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3.96</w:t>
            </w:r>
          </w:p>
        </w:tc>
        <w:tc>
          <w:tcPr>
            <w:tcW w:w="846" w:type="dxa"/>
            <w:shd w:val="clear" w:color="auto" w:fill="auto"/>
            <w:vAlign w:val="center"/>
          </w:tcPr>
          <w:p>
            <w:pPr>
              <w:widowControl/>
              <w:jc w:val="center"/>
              <w:rPr>
                <w:color w:val="000000"/>
                <w:kern w:val="0"/>
                <w:szCs w:val="21"/>
              </w:rPr>
            </w:pPr>
            <w:r>
              <w:rPr>
                <w:color w:val="000000"/>
                <w:kern w:val="0"/>
                <w:szCs w:val="21"/>
              </w:rPr>
              <w:t>0.89</w:t>
            </w:r>
          </w:p>
        </w:tc>
        <w:tc>
          <w:tcPr>
            <w:tcW w:w="831" w:type="dxa"/>
            <w:vAlign w:val="center"/>
          </w:tcPr>
          <w:p>
            <w:pPr>
              <w:widowControl/>
              <w:jc w:val="center"/>
              <w:rPr>
                <w:color w:val="000000"/>
                <w:kern w:val="0"/>
                <w:szCs w:val="21"/>
              </w:rPr>
            </w:pPr>
            <w:r>
              <w:rPr>
                <w:color w:val="000000"/>
                <w:kern w:val="0"/>
                <w:szCs w:val="21"/>
              </w:rPr>
              <w:t>24.0</w:t>
            </w:r>
          </w:p>
        </w:tc>
        <w:tc>
          <w:tcPr>
            <w:tcW w:w="695" w:type="dxa"/>
            <w:vAlign w:val="center"/>
          </w:tcPr>
          <w:p>
            <w:pPr>
              <w:widowControl/>
              <w:jc w:val="center"/>
              <w:rPr>
                <w:color w:val="000000"/>
                <w:kern w:val="0"/>
                <w:szCs w:val="21"/>
              </w:rPr>
            </w:pPr>
            <w:r>
              <w:rPr>
                <w:color w:val="000000"/>
                <w:kern w:val="0"/>
                <w:szCs w:val="21"/>
              </w:rPr>
              <w:t>56.0</w:t>
            </w:r>
          </w:p>
        </w:tc>
        <w:tc>
          <w:tcPr>
            <w:tcW w:w="837" w:type="dxa"/>
            <w:vAlign w:val="center"/>
          </w:tcPr>
          <w:p>
            <w:pPr>
              <w:widowControl/>
              <w:jc w:val="center"/>
              <w:rPr>
                <w:color w:val="000000"/>
                <w:kern w:val="0"/>
                <w:szCs w:val="21"/>
              </w:rPr>
            </w:pPr>
            <w:r>
              <w:rPr>
                <w:color w:val="000000"/>
                <w:kern w:val="0"/>
                <w:szCs w:val="21"/>
              </w:rPr>
              <w:t>16.0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4.0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4.85</w:t>
            </w:r>
          </w:p>
        </w:tc>
        <w:tc>
          <w:tcPr>
            <w:tcW w:w="846" w:type="dxa"/>
            <w:shd w:val="clear" w:color="auto" w:fill="auto"/>
            <w:vAlign w:val="center"/>
          </w:tcPr>
          <w:p>
            <w:pPr>
              <w:widowControl/>
              <w:jc w:val="center"/>
              <w:rPr>
                <w:color w:val="000000"/>
                <w:kern w:val="0"/>
                <w:szCs w:val="21"/>
              </w:rPr>
            </w:pPr>
            <w:r>
              <w:rPr>
                <w:color w:val="000000"/>
                <w:kern w:val="0"/>
                <w:szCs w:val="21"/>
              </w:rPr>
              <w:t>0.38</w:t>
            </w:r>
          </w:p>
        </w:tc>
        <w:tc>
          <w:tcPr>
            <w:tcW w:w="831" w:type="dxa"/>
            <w:vAlign w:val="center"/>
          </w:tcPr>
          <w:p>
            <w:pPr>
              <w:widowControl/>
              <w:jc w:val="center"/>
              <w:rPr>
                <w:color w:val="000000"/>
                <w:kern w:val="0"/>
                <w:szCs w:val="21"/>
              </w:rPr>
            </w:pPr>
            <w:r>
              <w:rPr>
                <w:color w:val="000000"/>
                <w:kern w:val="0"/>
                <w:szCs w:val="21"/>
              </w:rPr>
              <w:t>84.6</w:t>
            </w:r>
          </w:p>
        </w:tc>
        <w:tc>
          <w:tcPr>
            <w:tcW w:w="695" w:type="dxa"/>
            <w:vAlign w:val="center"/>
          </w:tcPr>
          <w:p>
            <w:pPr>
              <w:widowControl/>
              <w:jc w:val="center"/>
              <w:rPr>
                <w:color w:val="000000"/>
                <w:kern w:val="0"/>
                <w:szCs w:val="21"/>
              </w:rPr>
            </w:pPr>
            <w:r>
              <w:rPr>
                <w:color w:val="000000"/>
                <w:kern w:val="0"/>
                <w:szCs w:val="21"/>
              </w:rPr>
              <w:t>15.4</w:t>
            </w:r>
          </w:p>
        </w:tc>
        <w:tc>
          <w:tcPr>
            <w:tcW w:w="837" w:type="dxa"/>
            <w:vAlign w:val="center"/>
          </w:tcPr>
          <w:p>
            <w:pPr>
              <w:widowControl/>
              <w:jc w:val="center"/>
              <w:rPr>
                <w:color w:val="000000"/>
                <w:kern w:val="0"/>
                <w:szCs w:val="21"/>
              </w:rPr>
            </w:pPr>
            <w:r>
              <w:rPr>
                <w:color w:val="000000"/>
                <w:kern w:val="0"/>
                <w:szCs w:val="21"/>
              </w:rPr>
              <w:t>0.0</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25"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4.04</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31" w:type="dxa"/>
            <w:vAlign w:val="center"/>
          </w:tcPr>
          <w:p>
            <w:pPr>
              <w:widowControl/>
              <w:jc w:val="center"/>
              <w:rPr>
                <w:color w:val="000000"/>
                <w:kern w:val="0"/>
                <w:szCs w:val="21"/>
              </w:rPr>
            </w:pPr>
            <w:r>
              <w:rPr>
                <w:color w:val="000000"/>
                <w:kern w:val="0"/>
                <w:szCs w:val="21"/>
              </w:rPr>
              <w:t>25.9</w:t>
            </w:r>
          </w:p>
        </w:tc>
        <w:tc>
          <w:tcPr>
            <w:tcW w:w="695" w:type="dxa"/>
            <w:vAlign w:val="center"/>
          </w:tcPr>
          <w:p>
            <w:pPr>
              <w:widowControl/>
              <w:jc w:val="center"/>
              <w:rPr>
                <w:color w:val="000000"/>
                <w:kern w:val="0"/>
                <w:szCs w:val="21"/>
              </w:rPr>
            </w:pPr>
            <w:r>
              <w:rPr>
                <w:color w:val="000000"/>
                <w:kern w:val="0"/>
                <w:szCs w:val="21"/>
              </w:rPr>
              <w:t>51.9</w:t>
            </w:r>
          </w:p>
        </w:tc>
        <w:tc>
          <w:tcPr>
            <w:tcW w:w="837" w:type="dxa"/>
            <w:vAlign w:val="center"/>
          </w:tcPr>
          <w:p>
            <w:pPr>
              <w:widowControl/>
              <w:jc w:val="center"/>
              <w:rPr>
                <w:color w:val="000000"/>
                <w:kern w:val="0"/>
                <w:szCs w:val="21"/>
              </w:rPr>
            </w:pPr>
            <w:r>
              <w:rPr>
                <w:color w:val="000000"/>
                <w:kern w:val="0"/>
                <w:szCs w:val="21"/>
              </w:rPr>
              <w:t>22.2</w:t>
            </w:r>
          </w:p>
        </w:tc>
        <w:tc>
          <w:tcPr>
            <w:tcW w:w="825" w:type="dxa"/>
            <w:vAlign w:val="center"/>
          </w:tcPr>
          <w:p>
            <w:pPr>
              <w:widowControl/>
              <w:jc w:val="center"/>
              <w:rPr>
                <w:color w:val="000000"/>
                <w:kern w:val="0"/>
                <w:szCs w:val="21"/>
              </w:rPr>
            </w:pPr>
            <w:r>
              <w:rPr>
                <w:color w:val="000000"/>
                <w:kern w:val="0"/>
                <w:szCs w:val="21"/>
              </w:rPr>
              <w:t>0.0</w:t>
            </w:r>
          </w:p>
        </w:tc>
        <w:tc>
          <w:tcPr>
            <w:tcW w:w="1023"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21"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4.37</w:t>
            </w:r>
          </w:p>
        </w:tc>
        <w:tc>
          <w:tcPr>
            <w:tcW w:w="846" w:type="dxa"/>
            <w:shd w:val="clear" w:color="auto" w:fill="auto"/>
            <w:vAlign w:val="center"/>
          </w:tcPr>
          <w:p>
            <w:pPr>
              <w:widowControl/>
              <w:jc w:val="center"/>
              <w:rPr>
                <w:color w:val="000000"/>
                <w:kern w:val="0"/>
                <w:szCs w:val="21"/>
              </w:rPr>
            </w:pPr>
            <w:r>
              <w:rPr>
                <w:color w:val="000000"/>
                <w:kern w:val="0"/>
                <w:szCs w:val="21"/>
              </w:rPr>
              <w:t>0.72</w:t>
            </w:r>
          </w:p>
        </w:tc>
        <w:tc>
          <w:tcPr>
            <w:tcW w:w="831" w:type="dxa"/>
            <w:vAlign w:val="center"/>
          </w:tcPr>
          <w:p>
            <w:pPr>
              <w:widowControl/>
              <w:jc w:val="center"/>
              <w:rPr>
                <w:color w:val="000000"/>
                <w:kern w:val="0"/>
                <w:szCs w:val="21"/>
              </w:rPr>
            </w:pPr>
            <w:r>
              <w:rPr>
                <w:color w:val="000000"/>
                <w:kern w:val="0"/>
                <w:szCs w:val="21"/>
              </w:rPr>
              <w:t>49.1</w:t>
            </w:r>
          </w:p>
        </w:tc>
        <w:tc>
          <w:tcPr>
            <w:tcW w:w="695" w:type="dxa"/>
            <w:vAlign w:val="center"/>
          </w:tcPr>
          <w:p>
            <w:pPr>
              <w:widowControl/>
              <w:jc w:val="center"/>
              <w:rPr>
                <w:color w:val="000000"/>
                <w:kern w:val="0"/>
                <w:szCs w:val="21"/>
              </w:rPr>
            </w:pPr>
            <w:r>
              <w:rPr>
                <w:color w:val="000000"/>
                <w:kern w:val="0"/>
                <w:szCs w:val="21"/>
              </w:rPr>
              <w:t>39.8</w:t>
            </w:r>
          </w:p>
        </w:tc>
        <w:tc>
          <w:tcPr>
            <w:tcW w:w="837" w:type="dxa"/>
            <w:vAlign w:val="center"/>
          </w:tcPr>
          <w:p>
            <w:pPr>
              <w:widowControl/>
              <w:jc w:val="center"/>
              <w:rPr>
                <w:color w:val="000000"/>
                <w:kern w:val="0"/>
                <w:szCs w:val="21"/>
              </w:rPr>
            </w:pPr>
            <w:r>
              <w:rPr>
                <w:color w:val="000000"/>
                <w:kern w:val="0"/>
                <w:szCs w:val="21"/>
              </w:rPr>
              <w:t>10.2</w:t>
            </w:r>
          </w:p>
        </w:tc>
        <w:tc>
          <w:tcPr>
            <w:tcW w:w="825" w:type="dxa"/>
            <w:vAlign w:val="center"/>
          </w:tcPr>
          <w:p>
            <w:pPr>
              <w:widowControl/>
              <w:jc w:val="center"/>
              <w:rPr>
                <w:color w:val="000000"/>
                <w:kern w:val="0"/>
                <w:szCs w:val="21"/>
              </w:rPr>
            </w:pPr>
            <w:r>
              <w:rPr>
                <w:color w:val="000000"/>
                <w:kern w:val="0"/>
                <w:szCs w:val="21"/>
              </w:rPr>
              <w:t>0.4</w:t>
            </w:r>
          </w:p>
        </w:tc>
        <w:tc>
          <w:tcPr>
            <w:tcW w:w="1023" w:type="dxa"/>
            <w:vAlign w:val="center"/>
          </w:tcPr>
          <w:p>
            <w:pPr>
              <w:widowControl/>
              <w:jc w:val="center"/>
              <w:rPr>
                <w:color w:val="000000"/>
                <w:kern w:val="0"/>
                <w:szCs w:val="21"/>
              </w:rPr>
            </w:pPr>
            <w:r>
              <w:rPr>
                <w:color w:val="000000"/>
                <w:kern w:val="0"/>
                <w:szCs w:val="21"/>
              </w:rPr>
              <w:t>0.4</w:t>
            </w:r>
          </w:p>
        </w:tc>
        <w:tc>
          <w:tcPr>
            <w:tcW w:w="1104" w:type="dxa"/>
            <w:shd w:val="clear" w:color="auto" w:fill="auto"/>
            <w:vAlign w:val="center"/>
          </w:tcPr>
          <w:p>
            <w:pPr>
              <w:widowControl/>
              <w:jc w:val="center"/>
              <w:rPr>
                <w:color w:val="000000"/>
                <w:kern w:val="0"/>
                <w:szCs w:val="21"/>
              </w:rPr>
            </w:pPr>
          </w:p>
        </w:tc>
      </w:tr>
    </w:tbl>
    <w:p>
      <w:r>
        <w:rPr>
          <w:rFonts w:hint="eastAsia"/>
          <w:sz w:val="20"/>
          <w:szCs w:val="20"/>
        </w:rPr>
        <w:t>注：得分5=很喜欢，4=喜欢，3=不好说，2=不喜欢，1=很不喜欢</w:t>
      </w:r>
    </w:p>
    <w:p/>
    <w:p>
      <w:pPr>
        <w:pStyle w:val="70"/>
      </w:pPr>
      <w:r>
        <w:rPr>
          <w:rFonts w:hint="eastAsia"/>
        </w:rPr>
        <w:t>（3）从事本专业相关工作的意愿</w:t>
      </w:r>
    </w:p>
    <w:p>
      <w:pPr>
        <w:pStyle w:val="75"/>
      </w:pPr>
      <w:bookmarkStart w:id="111" w:name="PO_33113"/>
      <w:bookmarkEnd w:id="111"/>
      <w:r>
        <w:rPr>
          <w:rFonts w:hint="eastAsia"/>
        </w:rPr>
        <w:t>①总体情况</w:t>
      </w:r>
    </w:p>
    <w:p>
      <w:pPr>
        <w:pStyle w:val="37"/>
        <w:ind w:firstLine="480"/>
      </w:pPr>
      <w:r>
        <w:rPr>
          <w:rFonts w:hint="eastAsia"/>
        </w:rPr>
        <w:t>对于从事本专业相关工作的意愿，90.7%的本科生表示“很愿意”或“愿意”，7.5%认为“不好说”，1.8%则表示“不愿意”或“很不愿意”。</w:t>
      </w:r>
    </w:p>
    <w:p>
      <w:pPr>
        <w:jc w:val="center"/>
      </w:pPr>
      <w:r>
        <w:rPr>
          <w:rFonts w:hint="eastAsia"/>
        </w:rPr>
        <w:drawing>
          <wp:inline distT="0" distB="0" distL="0" distR="0">
            <wp:extent cx="6076950" cy="3077210"/>
            <wp:effectExtent l="19050" t="0" r="19050" b="8890"/>
            <wp:docPr id="3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59"/>
        <w:spacing w:before="156" w:after="312"/>
      </w:pPr>
      <w:r>
        <w:rPr>
          <w:rFonts w:hint="eastAsia"/>
        </w:rPr>
        <w:t>本科生对从事本专业相关工作的意愿</w:t>
      </w:r>
    </w:p>
    <w:p>
      <w:pPr>
        <w:pStyle w:val="75"/>
      </w:pPr>
      <w:r>
        <w:rPr>
          <w:rFonts w:hint="eastAsia"/>
        </w:rPr>
        <w:t>②不同专业本科生对从事本专业相关工作的意愿</w:t>
      </w:r>
    </w:p>
    <w:p>
      <w:pPr>
        <w:pStyle w:val="37"/>
        <w:ind w:firstLine="480"/>
      </w:pPr>
      <w:r>
        <w:rPr>
          <w:rFonts w:hint="eastAsia"/>
        </w:rPr>
        <w:t>就专业而言，方差检验显示，不同专业的本科生对从事本专业相关工作的意愿存在非常显著性差异（F=3.32，p&lt;0.001）。其中，对从事本专业相关工作意愿程度排名前三的专业依次为：影视编导、表演、导演。</w:t>
      </w:r>
    </w:p>
    <w:p>
      <w:pPr>
        <w:jc w:val="center"/>
      </w:pPr>
      <w:r>
        <w:rPr>
          <w:rFonts w:hint="eastAsia"/>
        </w:rPr>
        <w:drawing>
          <wp:inline distT="0" distB="0" distL="0" distR="0">
            <wp:extent cx="5791200" cy="8305800"/>
            <wp:effectExtent l="19050" t="0" r="19050" b="0"/>
            <wp:docPr id="37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59"/>
        <w:spacing w:before="156" w:after="312"/>
      </w:pPr>
      <w:r>
        <w:rPr>
          <w:rFonts w:hint="eastAsia"/>
        </w:rPr>
        <w:t>不同专业本科生对从事本专业相关工作的意愿</w:t>
      </w:r>
    </w:p>
    <w:p>
      <w:pPr>
        <w:pStyle w:val="53"/>
        <w:spacing w:before="312" w:after="156"/>
      </w:pPr>
      <w:r>
        <w:rPr>
          <w:rFonts w:hint="eastAsia"/>
        </w:rPr>
        <w:t>本科生对从事本专业相关工作的意愿</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3"/>
        <w:gridCol w:w="1896"/>
        <w:gridCol w:w="536"/>
        <w:gridCol w:w="636"/>
        <w:gridCol w:w="846"/>
        <w:gridCol w:w="841"/>
        <w:gridCol w:w="635"/>
        <w:gridCol w:w="843"/>
        <w:gridCol w:w="839"/>
        <w:gridCol w:w="1045"/>
        <w:gridCol w:w="1104"/>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03"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04"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3"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很愿意</w:t>
            </w:r>
          </w:p>
        </w:tc>
        <w:tc>
          <w:tcPr>
            <w:tcW w:w="63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愿意</w:t>
            </w:r>
          </w:p>
        </w:tc>
        <w:tc>
          <w:tcPr>
            <w:tcW w:w="843"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3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不愿意</w:t>
            </w:r>
          </w:p>
        </w:tc>
        <w:tc>
          <w:tcPr>
            <w:tcW w:w="104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很不愿意</w:t>
            </w:r>
          </w:p>
        </w:tc>
        <w:tc>
          <w:tcPr>
            <w:tcW w:w="11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4.78</w:t>
            </w:r>
          </w:p>
        </w:tc>
        <w:tc>
          <w:tcPr>
            <w:tcW w:w="846" w:type="dxa"/>
            <w:shd w:val="clear" w:color="auto" w:fill="auto"/>
            <w:vAlign w:val="center"/>
          </w:tcPr>
          <w:p>
            <w:pPr>
              <w:widowControl/>
              <w:jc w:val="center"/>
              <w:rPr>
                <w:color w:val="000000"/>
                <w:kern w:val="0"/>
                <w:szCs w:val="21"/>
              </w:rPr>
            </w:pPr>
            <w:r>
              <w:rPr>
                <w:color w:val="000000"/>
                <w:kern w:val="0"/>
                <w:szCs w:val="21"/>
              </w:rPr>
              <w:t>0.52</w:t>
            </w:r>
          </w:p>
        </w:tc>
        <w:tc>
          <w:tcPr>
            <w:tcW w:w="841" w:type="dxa"/>
            <w:vAlign w:val="center"/>
          </w:tcPr>
          <w:p>
            <w:pPr>
              <w:widowControl/>
              <w:jc w:val="center"/>
              <w:rPr>
                <w:color w:val="000000"/>
                <w:kern w:val="0"/>
                <w:szCs w:val="21"/>
              </w:rPr>
            </w:pPr>
            <w:r>
              <w:rPr>
                <w:color w:val="000000"/>
                <w:kern w:val="0"/>
                <w:szCs w:val="21"/>
              </w:rPr>
              <w:t>82.9</w:t>
            </w:r>
          </w:p>
        </w:tc>
        <w:tc>
          <w:tcPr>
            <w:tcW w:w="635" w:type="dxa"/>
            <w:vAlign w:val="center"/>
          </w:tcPr>
          <w:p>
            <w:pPr>
              <w:widowControl/>
              <w:jc w:val="center"/>
              <w:rPr>
                <w:color w:val="000000"/>
                <w:kern w:val="0"/>
                <w:szCs w:val="21"/>
              </w:rPr>
            </w:pPr>
            <w:r>
              <w:rPr>
                <w:color w:val="000000"/>
                <w:kern w:val="0"/>
                <w:szCs w:val="21"/>
              </w:rPr>
              <w:t>12.2</w:t>
            </w:r>
          </w:p>
        </w:tc>
        <w:tc>
          <w:tcPr>
            <w:tcW w:w="843" w:type="dxa"/>
            <w:vAlign w:val="center"/>
          </w:tcPr>
          <w:p>
            <w:pPr>
              <w:widowControl/>
              <w:jc w:val="center"/>
              <w:rPr>
                <w:color w:val="000000"/>
                <w:kern w:val="0"/>
                <w:szCs w:val="21"/>
              </w:rPr>
            </w:pPr>
            <w:r>
              <w:rPr>
                <w:color w:val="000000"/>
                <w:kern w:val="0"/>
                <w:szCs w:val="21"/>
              </w:rPr>
              <w:t>4.9</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restart"/>
            <w:shd w:val="clear" w:color="auto" w:fill="auto"/>
            <w:vAlign w:val="center"/>
          </w:tcPr>
          <w:p>
            <w:pPr>
              <w:jc w:val="center"/>
              <w:rPr>
                <w:color w:val="000000"/>
                <w:kern w:val="0"/>
                <w:szCs w:val="21"/>
              </w:rPr>
            </w:pPr>
            <w:r>
              <w:rPr>
                <w:color w:val="000000"/>
                <w:kern w:val="0"/>
                <w:szCs w:val="21"/>
              </w:rPr>
              <w:t>F=3.32***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4.57</w:t>
            </w:r>
          </w:p>
        </w:tc>
        <w:tc>
          <w:tcPr>
            <w:tcW w:w="846" w:type="dxa"/>
            <w:shd w:val="clear" w:color="auto" w:fill="auto"/>
            <w:vAlign w:val="center"/>
          </w:tcPr>
          <w:p>
            <w:pPr>
              <w:widowControl/>
              <w:jc w:val="center"/>
              <w:rPr>
                <w:color w:val="000000"/>
                <w:kern w:val="0"/>
                <w:szCs w:val="21"/>
              </w:rPr>
            </w:pPr>
            <w:r>
              <w:rPr>
                <w:color w:val="000000"/>
                <w:kern w:val="0"/>
                <w:szCs w:val="21"/>
              </w:rPr>
              <w:t>0.51</w:t>
            </w:r>
          </w:p>
        </w:tc>
        <w:tc>
          <w:tcPr>
            <w:tcW w:w="841" w:type="dxa"/>
            <w:vAlign w:val="center"/>
          </w:tcPr>
          <w:p>
            <w:pPr>
              <w:widowControl/>
              <w:jc w:val="center"/>
              <w:rPr>
                <w:color w:val="000000"/>
                <w:kern w:val="0"/>
                <w:szCs w:val="21"/>
              </w:rPr>
            </w:pPr>
            <w:r>
              <w:rPr>
                <w:color w:val="000000"/>
                <w:kern w:val="0"/>
                <w:szCs w:val="21"/>
              </w:rPr>
              <w:t>56.5</w:t>
            </w:r>
          </w:p>
        </w:tc>
        <w:tc>
          <w:tcPr>
            <w:tcW w:w="635" w:type="dxa"/>
            <w:vAlign w:val="center"/>
          </w:tcPr>
          <w:p>
            <w:pPr>
              <w:widowControl/>
              <w:jc w:val="center"/>
              <w:rPr>
                <w:color w:val="000000"/>
                <w:kern w:val="0"/>
                <w:szCs w:val="21"/>
              </w:rPr>
            </w:pPr>
            <w:r>
              <w:rPr>
                <w:color w:val="000000"/>
                <w:kern w:val="0"/>
                <w:szCs w:val="21"/>
              </w:rPr>
              <w:t>43.5</w:t>
            </w:r>
          </w:p>
        </w:tc>
        <w:tc>
          <w:tcPr>
            <w:tcW w:w="843" w:type="dxa"/>
            <w:vAlign w:val="center"/>
          </w:tcPr>
          <w:p>
            <w:pPr>
              <w:widowControl/>
              <w:jc w:val="center"/>
              <w:rPr>
                <w:color w:val="000000"/>
                <w:kern w:val="0"/>
                <w:szCs w:val="21"/>
              </w:rPr>
            </w:pPr>
            <w:r>
              <w:rPr>
                <w:color w:val="000000"/>
                <w:kern w:val="0"/>
                <w:szCs w:val="21"/>
              </w:rPr>
              <w:t>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4.69</w:t>
            </w:r>
          </w:p>
        </w:tc>
        <w:tc>
          <w:tcPr>
            <w:tcW w:w="846" w:type="dxa"/>
            <w:shd w:val="clear" w:color="auto" w:fill="auto"/>
            <w:vAlign w:val="center"/>
          </w:tcPr>
          <w:p>
            <w:pPr>
              <w:widowControl/>
              <w:jc w:val="center"/>
              <w:rPr>
                <w:color w:val="000000"/>
                <w:kern w:val="0"/>
                <w:szCs w:val="21"/>
              </w:rPr>
            </w:pPr>
            <w:r>
              <w:rPr>
                <w:color w:val="000000"/>
                <w:kern w:val="0"/>
                <w:szCs w:val="21"/>
              </w:rPr>
              <w:t>0.48</w:t>
            </w:r>
          </w:p>
        </w:tc>
        <w:tc>
          <w:tcPr>
            <w:tcW w:w="841" w:type="dxa"/>
            <w:vAlign w:val="center"/>
          </w:tcPr>
          <w:p>
            <w:pPr>
              <w:widowControl/>
              <w:jc w:val="center"/>
              <w:rPr>
                <w:color w:val="000000"/>
                <w:kern w:val="0"/>
                <w:szCs w:val="21"/>
              </w:rPr>
            </w:pPr>
            <w:r>
              <w:rPr>
                <w:color w:val="000000"/>
                <w:kern w:val="0"/>
                <w:szCs w:val="21"/>
              </w:rPr>
              <w:t>69.2</w:t>
            </w:r>
          </w:p>
        </w:tc>
        <w:tc>
          <w:tcPr>
            <w:tcW w:w="635" w:type="dxa"/>
            <w:vAlign w:val="center"/>
          </w:tcPr>
          <w:p>
            <w:pPr>
              <w:widowControl/>
              <w:jc w:val="center"/>
              <w:rPr>
                <w:color w:val="000000"/>
                <w:kern w:val="0"/>
                <w:szCs w:val="21"/>
              </w:rPr>
            </w:pPr>
            <w:r>
              <w:rPr>
                <w:color w:val="000000"/>
                <w:kern w:val="0"/>
                <w:szCs w:val="21"/>
              </w:rPr>
              <w:t>30.8</w:t>
            </w:r>
          </w:p>
        </w:tc>
        <w:tc>
          <w:tcPr>
            <w:tcW w:w="843" w:type="dxa"/>
            <w:vAlign w:val="center"/>
          </w:tcPr>
          <w:p>
            <w:pPr>
              <w:widowControl/>
              <w:jc w:val="center"/>
              <w:rPr>
                <w:color w:val="000000"/>
                <w:kern w:val="0"/>
                <w:szCs w:val="21"/>
              </w:rPr>
            </w:pPr>
            <w:r>
              <w:rPr>
                <w:color w:val="000000"/>
                <w:kern w:val="0"/>
                <w:szCs w:val="21"/>
              </w:rPr>
              <w:t>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1.00</w:t>
            </w:r>
          </w:p>
        </w:tc>
        <w:tc>
          <w:tcPr>
            <w:tcW w:w="841" w:type="dxa"/>
            <w:vAlign w:val="center"/>
          </w:tcPr>
          <w:p>
            <w:pPr>
              <w:widowControl/>
              <w:jc w:val="center"/>
              <w:rPr>
                <w:color w:val="000000"/>
                <w:kern w:val="0"/>
                <w:szCs w:val="21"/>
              </w:rPr>
            </w:pPr>
            <w:r>
              <w:rPr>
                <w:color w:val="000000"/>
                <w:kern w:val="0"/>
                <w:szCs w:val="21"/>
              </w:rPr>
              <w:t>33.3</w:t>
            </w:r>
          </w:p>
        </w:tc>
        <w:tc>
          <w:tcPr>
            <w:tcW w:w="635" w:type="dxa"/>
            <w:vAlign w:val="center"/>
          </w:tcPr>
          <w:p>
            <w:pPr>
              <w:widowControl/>
              <w:jc w:val="center"/>
              <w:rPr>
                <w:color w:val="000000"/>
                <w:kern w:val="0"/>
                <w:szCs w:val="21"/>
              </w:rPr>
            </w:pPr>
            <w:r>
              <w:rPr>
                <w:color w:val="000000"/>
                <w:kern w:val="0"/>
                <w:szCs w:val="21"/>
              </w:rPr>
              <w:t>33.3</w:t>
            </w:r>
          </w:p>
        </w:tc>
        <w:tc>
          <w:tcPr>
            <w:tcW w:w="843" w:type="dxa"/>
            <w:vAlign w:val="center"/>
          </w:tcPr>
          <w:p>
            <w:pPr>
              <w:widowControl/>
              <w:jc w:val="center"/>
              <w:rPr>
                <w:color w:val="000000"/>
                <w:kern w:val="0"/>
                <w:szCs w:val="21"/>
              </w:rPr>
            </w:pPr>
            <w:r>
              <w:rPr>
                <w:color w:val="000000"/>
                <w:kern w:val="0"/>
                <w:szCs w:val="21"/>
              </w:rPr>
              <w:t>33.3</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4.30</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841" w:type="dxa"/>
            <w:vAlign w:val="center"/>
          </w:tcPr>
          <w:p>
            <w:pPr>
              <w:widowControl/>
              <w:jc w:val="center"/>
              <w:rPr>
                <w:color w:val="000000"/>
                <w:kern w:val="0"/>
                <w:szCs w:val="21"/>
              </w:rPr>
            </w:pPr>
            <w:r>
              <w:rPr>
                <w:color w:val="000000"/>
                <w:kern w:val="0"/>
                <w:szCs w:val="21"/>
              </w:rPr>
              <w:t>40.0</w:t>
            </w:r>
          </w:p>
        </w:tc>
        <w:tc>
          <w:tcPr>
            <w:tcW w:w="635" w:type="dxa"/>
            <w:vAlign w:val="center"/>
          </w:tcPr>
          <w:p>
            <w:pPr>
              <w:widowControl/>
              <w:jc w:val="center"/>
              <w:rPr>
                <w:color w:val="000000"/>
                <w:kern w:val="0"/>
                <w:szCs w:val="21"/>
              </w:rPr>
            </w:pPr>
            <w:r>
              <w:rPr>
                <w:color w:val="000000"/>
                <w:kern w:val="0"/>
                <w:szCs w:val="21"/>
              </w:rPr>
              <w:t>50.0</w:t>
            </w:r>
          </w:p>
        </w:tc>
        <w:tc>
          <w:tcPr>
            <w:tcW w:w="843" w:type="dxa"/>
            <w:vAlign w:val="center"/>
          </w:tcPr>
          <w:p>
            <w:pPr>
              <w:widowControl/>
              <w:jc w:val="center"/>
              <w:rPr>
                <w:color w:val="000000"/>
                <w:kern w:val="0"/>
                <w:szCs w:val="21"/>
              </w:rPr>
            </w:pPr>
            <w:r>
              <w:rPr>
                <w:color w:val="000000"/>
                <w:kern w:val="0"/>
                <w:szCs w:val="21"/>
              </w:rPr>
              <w:t>10.0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1" w:type="dxa"/>
            <w:vAlign w:val="center"/>
          </w:tcPr>
          <w:p>
            <w:pPr>
              <w:widowControl/>
              <w:jc w:val="center"/>
              <w:rPr>
                <w:color w:val="000000"/>
                <w:kern w:val="0"/>
                <w:szCs w:val="21"/>
              </w:rPr>
            </w:pPr>
            <w:r>
              <w:rPr>
                <w:color w:val="000000"/>
                <w:kern w:val="0"/>
                <w:szCs w:val="21"/>
              </w:rPr>
              <w:t>37.5</w:t>
            </w:r>
          </w:p>
        </w:tc>
        <w:tc>
          <w:tcPr>
            <w:tcW w:w="635" w:type="dxa"/>
            <w:vAlign w:val="center"/>
          </w:tcPr>
          <w:p>
            <w:pPr>
              <w:widowControl/>
              <w:jc w:val="center"/>
              <w:rPr>
                <w:color w:val="000000"/>
                <w:kern w:val="0"/>
                <w:szCs w:val="21"/>
              </w:rPr>
            </w:pPr>
            <w:r>
              <w:rPr>
                <w:color w:val="000000"/>
                <w:kern w:val="0"/>
                <w:szCs w:val="21"/>
              </w:rPr>
              <w:t>50.0</w:t>
            </w:r>
          </w:p>
        </w:tc>
        <w:tc>
          <w:tcPr>
            <w:tcW w:w="843" w:type="dxa"/>
            <w:vAlign w:val="center"/>
          </w:tcPr>
          <w:p>
            <w:pPr>
              <w:widowControl/>
              <w:jc w:val="center"/>
              <w:rPr>
                <w:color w:val="000000"/>
                <w:kern w:val="0"/>
                <w:szCs w:val="21"/>
              </w:rPr>
            </w:pPr>
            <w:r>
              <w:rPr>
                <w:color w:val="000000"/>
                <w:kern w:val="0"/>
                <w:szCs w:val="21"/>
              </w:rPr>
              <w:t>12.5</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841" w:type="dxa"/>
            <w:vAlign w:val="center"/>
          </w:tcPr>
          <w:p>
            <w:pPr>
              <w:widowControl/>
              <w:jc w:val="center"/>
              <w:rPr>
                <w:color w:val="000000"/>
                <w:kern w:val="0"/>
                <w:szCs w:val="21"/>
              </w:rPr>
            </w:pPr>
            <w:r>
              <w:rPr>
                <w:color w:val="000000"/>
                <w:kern w:val="0"/>
                <w:szCs w:val="21"/>
              </w:rPr>
              <w:t>0.0</w:t>
            </w:r>
          </w:p>
        </w:tc>
        <w:tc>
          <w:tcPr>
            <w:tcW w:w="635" w:type="dxa"/>
            <w:vAlign w:val="center"/>
          </w:tcPr>
          <w:p>
            <w:pPr>
              <w:widowControl/>
              <w:jc w:val="center"/>
              <w:rPr>
                <w:color w:val="000000"/>
                <w:kern w:val="0"/>
                <w:szCs w:val="21"/>
              </w:rPr>
            </w:pPr>
            <w:r>
              <w:rPr>
                <w:color w:val="000000"/>
                <w:kern w:val="0"/>
                <w:szCs w:val="21"/>
              </w:rPr>
              <w:t>80.0</w:t>
            </w:r>
          </w:p>
        </w:tc>
        <w:tc>
          <w:tcPr>
            <w:tcW w:w="843" w:type="dxa"/>
            <w:vAlign w:val="center"/>
          </w:tcPr>
          <w:p>
            <w:pPr>
              <w:widowControl/>
              <w:jc w:val="center"/>
              <w:rPr>
                <w:color w:val="000000"/>
                <w:kern w:val="0"/>
                <w:szCs w:val="21"/>
              </w:rPr>
            </w:pPr>
            <w:r>
              <w:rPr>
                <w:color w:val="000000"/>
                <w:kern w:val="0"/>
                <w:szCs w:val="21"/>
              </w:rPr>
              <w:t>20.0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0.79</w:t>
            </w:r>
          </w:p>
        </w:tc>
        <w:tc>
          <w:tcPr>
            <w:tcW w:w="841" w:type="dxa"/>
            <w:vAlign w:val="center"/>
          </w:tcPr>
          <w:p>
            <w:pPr>
              <w:widowControl/>
              <w:jc w:val="center"/>
              <w:rPr>
                <w:color w:val="000000"/>
                <w:kern w:val="0"/>
                <w:szCs w:val="21"/>
              </w:rPr>
            </w:pPr>
            <w:r>
              <w:rPr>
                <w:color w:val="000000"/>
                <w:kern w:val="0"/>
                <w:szCs w:val="21"/>
              </w:rPr>
              <w:t>16.7</w:t>
            </w:r>
          </w:p>
        </w:tc>
        <w:tc>
          <w:tcPr>
            <w:tcW w:w="635" w:type="dxa"/>
            <w:vAlign w:val="center"/>
          </w:tcPr>
          <w:p>
            <w:pPr>
              <w:widowControl/>
              <w:jc w:val="center"/>
              <w:rPr>
                <w:color w:val="000000"/>
                <w:kern w:val="0"/>
                <w:szCs w:val="21"/>
              </w:rPr>
            </w:pPr>
            <w:r>
              <w:rPr>
                <w:color w:val="000000"/>
                <w:kern w:val="0"/>
                <w:szCs w:val="21"/>
              </w:rPr>
              <w:t>66.7</w:t>
            </w:r>
          </w:p>
        </w:tc>
        <w:tc>
          <w:tcPr>
            <w:tcW w:w="843" w:type="dxa"/>
            <w:vAlign w:val="center"/>
          </w:tcPr>
          <w:p>
            <w:pPr>
              <w:widowControl/>
              <w:jc w:val="center"/>
              <w:rPr>
                <w:color w:val="000000"/>
                <w:kern w:val="0"/>
                <w:szCs w:val="21"/>
              </w:rPr>
            </w:pPr>
            <w:r>
              <w:rPr>
                <w:color w:val="000000"/>
                <w:kern w:val="0"/>
                <w:szCs w:val="21"/>
              </w:rPr>
              <w:t>8.3</w:t>
            </w:r>
          </w:p>
        </w:tc>
        <w:tc>
          <w:tcPr>
            <w:tcW w:w="839" w:type="dxa"/>
            <w:vAlign w:val="center"/>
          </w:tcPr>
          <w:p>
            <w:pPr>
              <w:widowControl/>
              <w:jc w:val="center"/>
              <w:rPr>
                <w:color w:val="000000"/>
                <w:kern w:val="0"/>
                <w:szCs w:val="21"/>
              </w:rPr>
            </w:pPr>
            <w:r>
              <w:rPr>
                <w:color w:val="000000"/>
                <w:kern w:val="0"/>
                <w:szCs w:val="21"/>
              </w:rPr>
              <w:t>8.3</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4.33</w:t>
            </w:r>
          </w:p>
        </w:tc>
        <w:tc>
          <w:tcPr>
            <w:tcW w:w="846" w:type="dxa"/>
            <w:shd w:val="clear" w:color="auto" w:fill="auto"/>
            <w:vAlign w:val="center"/>
          </w:tcPr>
          <w:p>
            <w:pPr>
              <w:widowControl/>
              <w:jc w:val="center"/>
              <w:rPr>
                <w:color w:val="000000"/>
                <w:kern w:val="0"/>
                <w:szCs w:val="21"/>
              </w:rPr>
            </w:pPr>
            <w:r>
              <w:rPr>
                <w:color w:val="000000"/>
                <w:kern w:val="0"/>
                <w:szCs w:val="21"/>
              </w:rPr>
              <w:t>0.87</w:t>
            </w:r>
          </w:p>
        </w:tc>
        <w:tc>
          <w:tcPr>
            <w:tcW w:w="841" w:type="dxa"/>
            <w:vAlign w:val="center"/>
          </w:tcPr>
          <w:p>
            <w:pPr>
              <w:widowControl/>
              <w:jc w:val="center"/>
              <w:rPr>
                <w:color w:val="000000"/>
                <w:kern w:val="0"/>
                <w:szCs w:val="21"/>
              </w:rPr>
            </w:pPr>
            <w:r>
              <w:rPr>
                <w:color w:val="000000"/>
                <w:kern w:val="0"/>
                <w:szCs w:val="21"/>
              </w:rPr>
              <w:t>55.6</w:t>
            </w:r>
          </w:p>
        </w:tc>
        <w:tc>
          <w:tcPr>
            <w:tcW w:w="635" w:type="dxa"/>
            <w:vAlign w:val="center"/>
          </w:tcPr>
          <w:p>
            <w:pPr>
              <w:widowControl/>
              <w:jc w:val="center"/>
              <w:rPr>
                <w:color w:val="000000"/>
                <w:kern w:val="0"/>
                <w:szCs w:val="21"/>
              </w:rPr>
            </w:pPr>
            <w:r>
              <w:rPr>
                <w:color w:val="000000"/>
                <w:kern w:val="0"/>
                <w:szCs w:val="21"/>
              </w:rPr>
              <w:t>22.2</w:t>
            </w:r>
          </w:p>
        </w:tc>
        <w:tc>
          <w:tcPr>
            <w:tcW w:w="843" w:type="dxa"/>
            <w:vAlign w:val="center"/>
          </w:tcPr>
          <w:p>
            <w:pPr>
              <w:widowControl/>
              <w:jc w:val="center"/>
              <w:rPr>
                <w:color w:val="000000"/>
                <w:kern w:val="0"/>
                <w:szCs w:val="21"/>
              </w:rPr>
            </w:pPr>
            <w:r>
              <w:rPr>
                <w:color w:val="000000"/>
                <w:kern w:val="0"/>
                <w:szCs w:val="21"/>
              </w:rPr>
              <w:t>22.2</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4.64</w:t>
            </w:r>
          </w:p>
        </w:tc>
        <w:tc>
          <w:tcPr>
            <w:tcW w:w="846" w:type="dxa"/>
            <w:shd w:val="clear" w:color="auto" w:fill="auto"/>
            <w:vAlign w:val="center"/>
          </w:tcPr>
          <w:p>
            <w:pPr>
              <w:widowControl/>
              <w:jc w:val="center"/>
              <w:rPr>
                <w:color w:val="000000"/>
                <w:kern w:val="0"/>
                <w:szCs w:val="21"/>
              </w:rPr>
            </w:pPr>
            <w:r>
              <w:rPr>
                <w:color w:val="000000"/>
                <w:kern w:val="0"/>
                <w:szCs w:val="21"/>
              </w:rPr>
              <w:t>0.50</w:t>
            </w:r>
          </w:p>
        </w:tc>
        <w:tc>
          <w:tcPr>
            <w:tcW w:w="841" w:type="dxa"/>
            <w:vAlign w:val="center"/>
          </w:tcPr>
          <w:p>
            <w:pPr>
              <w:widowControl/>
              <w:jc w:val="center"/>
              <w:rPr>
                <w:color w:val="000000"/>
                <w:kern w:val="0"/>
                <w:szCs w:val="21"/>
              </w:rPr>
            </w:pPr>
            <w:r>
              <w:rPr>
                <w:color w:val="000000"/>
                <w:kern w:val="0"/>
                <w:szCs w:val="21"/>
              </w:rPr>
              <w:t>63.6</w:t>
            </w:r>
          </w:p>
        </w:tc>
        <w:tc>
          <w:tcPr>
            <w:tcW w:w="635" w:type="dxa"/>
            <w:vAlign w:val="center"/>
          </w:tcPr>
          <w:p>
            <w:pPr>
              <w:widowControl/>
              <w:jc w:val="center"/>
              <w:rPr>
                <w:color w:val="000000"/>
                <w:kern w:val="0"/>
                <w:szCs w:val="21"/>
              </w:rPr>
            </w:pPr>
            <w:r>
              <w:rPr>
                <w:color w:val="000000"/>
                <w:kern w:val="0"/>
                <w:szCs w:val="21"/>
              </w:rPr>
              <w:t>36.4</w:t>
            </w:r>
          </w:p>
        </w:tc>
        <w:tc>
          <w:tcPr>
            <w:tcW w:w="843" w:type="dxa"/>
            <w:vAlign w:val="center"/>
          </w:tcPr>
          <w:p>
            <w:pPr>
              <w:widowControl/>
              <w:jc w:val="center"/>
              <w:rPr>
                <w:color w:val="000000"/>
                <w:kern w:val="0"/>
                <w:szCs w:val="21"/>
              </w:rPr>
            </w:pPr>
            <w:r>
              <w:rPr>
                <w:color w:val="000000"/>
                <w:kern w:val="0"/>
                <w:szCs w:val="21"/>
              </w:rPr>
              <w:t>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4.24</w:t>
            </w:r>
          </w:p>
        </w:tc>
        <w:tc>
          <w:tcPr>
            <w:tcW w:w="846" w:type="dxa"/>
            <w:shd w:val="clear" w:color="auto" w:fill="auto"/>
            <w:vAlign w:val="center"/>
          </w:tcPr>
          <w:p>
            <w:pPr>
              <w:widowControl/>
              <w:jc w:val="center"/>
              <w:rPr>
                <w:color w:val="000000"/>
                <w:kern w:val="0"/>
                <w:szCs w:val="21"/>
              </w:rPr>
            </w:pPr>
            <w:r>
              <w:rPr>
                <w:color w:val="000000"/>
                <w:kern w:val="0"/>
                <w:szCs w:val="21"/>
              </w:rPr>
              <w:t>0.88</w:t>
            </w:r>
          </w:p>
        </w:tc>
        <w:tc>
          <w:tcPr>
            <w:tcW w:w="841" w:type="dxa"/>
            <w:vAlign w:val="center"/>
          </w:tcPr>
          <w:p>
            <w:pPr>
              <w:widowControl/>
              <w:jc w:val="center"/>
              <w:rPr>
                <w:color w:val="000000"/>
                <w:kern w:val="0"/>
                <w:szCs w:val="21"/>
              </w:rPr>
            </w:pPr>
            <w:r>
              <w:rPr>
                <w:color w:val="000000"/>
                <w:kern w:val="0"/>
                <w:szCs w:val="21"/>
              </w:rPr>
              <w:t>40.0</w:t>
            </w:r>
          </w:p>
        </w:tc>
        <w:tc>
          <w:tcPr>
            <w:tcW w:w="635" w:type="dxa"/>
            <w:vAlign w:val="center"/>
          </w:tcPr>
          <w:p>
            <w:pPr>
              <w:widowControl/>
              <w:jc w:val="center"/>
              <w:rPr>
                <w:color w:val="000000"/>
                <w:kern w:val="0"/>
                <w:szCs w:val="21"/>
              </w:rPr>
            </w:pPr>
            <w:r>
              <w:rPr>
                <w:color w:val="000000"/>
                <w:kern w:val="0"/>
                <w:szCs w:val="21"/>
              </w:rPr>
              <w:t>52.0</w:t>
            </w:r>
          </w:p>
        </w:tc>
        <w:tc>
          <w:tcPr>
            <w:tcW w:w="843" w:type="dxa"/>
            <w:vAlign w:val="center"/>
          </w:tcPr>
          <w:p>
            <w:pPr>
              <w:widowControl/>
              <w:jc w:val="center"/>
              <w:rPr>
                <w:color w:val="000000"/>
                <w:kern w:val="0"/>
                <w:szCs w:val="21"/>
              </w:rPr>
            </w:pPr>
            <w:r>
              <w:rPr>
                <w:color w:val="000000"/>
                <w:kern w:val="0"/>
                <w:szCs w:val="21"/>
              </w:rPr>
              <w:t>4.0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4.0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1" w:type="dxa"/>
            <w:vAlign w:val="center"/>
          </w:tcPr>
          <w:p>
            <w:pPr>
              <w:widowControl/>
              <w:jc w:val="center"/>
              <w:rPr>
                <w:color w:val="000000"/>
                <w:kern w:val="0"/>
                <w:szCs w:val="21"/>
              </w:rPr>
            </w:pPr>
            <w:r>
              <w:rPr>
                <w:color w:val="000000"/>
                <w:kern w:val="0"/>
                <w:szCs w:val="21"/>
              </w:rPr>
              <w:t>0.0</w:t>
            </w:r>
          </w:p>
        </w:tc>
        <w:tc>
          <w:tcPr>
            <w:tcW w:w="635" w:type="dxa"/>
            <w:vAlign w:val="center"/>
          </w:tcPr>
          <w:p>
            <w:pPr>
              <w:widowControl/>
              <w:jc w:val="center"/>
              <w:rPr>
                <w:color w:val="000000"/>
                <w:kern w:val="0"/>
                <w:szCs w:val="21"/>
              </w:rPr>
            </w:pPr>
            <w:r>
              <w:rPr>
                <w:color w:val="000000"/>
                <w:kern w:val="0"/>
                <w:szCs w:val="21"/>
              </w:rPr>
              <w:t>0.0</w:t>
            </w:r>
          </w:p>
        </w:tc>
        <w:tc>
          <w:tcPr>
            <w:tcW w:w="843" w:type="dxa"/>
            <w:vAlign w:val="center"/>
          </w:tcPr>
          <w:p>
            <w:pPr>
              <w:widowControl/>
              <w:jc w:val="center"/>
              <w:rPr>
                <w:color w:val="000000"/>
                <w:kern w:val="0"/>
                <w:szCs w:val="21"/>
              </w:rPr>
            </w:pPr>
            <w:r>
              <w:rPr>
                <w:color w:val="000000"/>
                <w:kern w:val="0"/>
                <w:szCs w:val="21"/>
              </w:rPr>
              <w:t>100.0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4.16</w:t>
            </w:r>
          </w:p>
        </w:tc>
        <w:tc>
          <w:tcPr>
            <w:tcW w:w="846" w:type="dxa"/>
            <w:shd w:val="clear" w:color="auto" w:fill="auto"/>
            <w:vAlign w:val="center"/>
          </w:tcPr>
          <w:p>
            <w:pPr>
              <w:widowControl/>
              <w:jc w:val="center"/>
              <w:rPr>
                <w:color w:val="000000"/>
                <w:kern w:val="0"/>
                <w:szCs w:val="21"/>
              </w:rPr>
            </w:pPr>
            <w:r>
              <w:rPr>
                <w:color w:val="000000"/>
                <w:kern w:val="0"/>
                <w:szCs w:val="21"/>
              </w:rPr>
              <w:t>1.03</w:t>
            </w:r>
          </w:p>
        </w:tc>
        <w:tc>
          <w:tcPr>
            <w:tcW w:w="841" w:type="dxa"/>
            <w:vAlign w:val="center"/>
          </w:tcPr>
          <w:p>
            <w:pPr>
              <w:widowControl/>
              <w:jc w:val="center"/>
              <w:rPr>
                <w:color w:val="000000"/>
                <w:kern w:val="0"/>
                <w:szCs w:val="21"/>
              </w:rPr>
            </w:pPr>
            <w:r>
              <w:rPr>
                <w:color w:val="000000"/>
                <w:kern w:val="0"/>
                <w:szCs w:val="21"/>
              </w:rPr>
              <w:t>44.0</w:t>
            </w:r>
          </w:p>
        </w:tc>
        <w:tc>
          <w:tcPr>
            <w:tcW w:w="635" w:type="dxa"/>
            <w:vAlign w:val="center"/>
          </w:tcPr>
          <w:p>
            <w:pPr>
              <w:widowControl/>
              <w:jc w:val="center"/>
              <w:rPr>
                <w:color w:val="000000"/>
                <w:kern w:val="0"/>
                <w:szCs w:val="21"/>
              </w:rPr>
            </w:pPr>
            <w:r>
              <w:rPr>
                <w:color w:val="000000"/>
                <w:kern w:val="0"/>
                <w:szCs w:val="21"/>
              </w:rPr>
              <w:t>40.0</w:t>
            </w:r>
          </w:p>
        </w:tc>
        <w:tc>
          <w:tcPr>
            <w:tcW w:w="843" w:type="dxa"/>
            <w:vAlign w:val="center"/>
          </w:tcPr>
          <w:p>
            <w:pPr>
              <w:widowControl/>
              <w:jc w:val="center"/>
              <w:rPr>
                <w:color w:val="000000"/>
                <w:kern w:val="0"/>
                <w:szCs w:val="21"/>
              </w:rPr>
            </w:pPr>
            <w:r>
              <w:rPr>
                <w:color w:val="000000"/>
                <w:kern w:val="0"/>
                <w:szCs w:val="21"/>
              </w:rPr>
              <w:t>8.0</w:t>
            </w:r>
          </w:p>
        </w:tc>
        <w:tc>
          <w:tcPr>
            <w:tcW w:w="839" w:type="dxa"/>
            <w:vAlign w:val="center"/>
          </w:tcPr>
          <w:p>
            <w:pPr>
              <w:widowControl/>
              <w:jc w:val="center"/>
              <w:rPr>
                <w:color w:val="000000"/>
                <w:kern w:val="0"/>
                <w:szCs w:val="21"/>
              </w:rPr>
            </w:pPr>
            <w:r>
              <w:rPr>
                <w:color w:val="000000"/>
                <w:kern w:val="0"/>
                <w:szCs w:val="21"/>
              </w:rPr>
              <w:t>4.0</w:t>
            </w:r>
          </w:p>
        </w:tc>
        <w:tc>
          <w:tcPr>
            <w:tcW w:w="1045" w:type="dxa"/>
            <w:vAlign w:val="center"/>
          </w:tcPr>
          <w:p>
            <w:pPr>
              <w:widowControl/>
              <w:jc w:val="center"/>
              <w:rPr>
                <w:color w:val="000000"/>
                <w:kern w:val="0"/>
                <w:szCs w:val="21"/>
              </w:rPr>
            </w:pPr>
            <w:r>
              <w:rPr>
                <w:color w:val="000000"/>
                <w:kern w:val="0"/>
                <w:szCs w:val="21"/>
              </w:rPr>
              <w:t>4.0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4.92</w:t>
            </w:r>
          </w:p>
        </w:tc>
        <w:tc>
          <w:tcPr>
            <w:tcW w:w="846" w:type="dxa"/>
            <w:shd w:val="clear" w:color="auto" w:fill="auto"/>
            <w:vAlign w:val="center"/>
          </w:tcPr>
          <w:p>
            <w:pPr>
              <w:widowControl/>
              <w:jc w:val="center"/>
              <w:rPr>
                <w:color w:val="000000"/>
                <w:kern w:val="0"/>
                <w:szCs w:val="21"/>
              </w:rPr>
            </w:pPr>
            <w:r>
              <w:rPr>
                <w:color w:val="000000"/>
                <w:kern w:val="0"/>
                <w:szCs w:val="21"/>
              </w:rPr>
              <w:t>0.28</w:t>
            </w:r>
          </w:p>
        </w:tc>
        <w:tc>
          <w:tcPr>
            <w:tcW w:w="841" w:type="dxa"/>
            <w:vAlign w:val="center"/>
          </w:tcPr>
          <w:p>
            <w:pPr>
              <w:widowControl/>
              <w:jc w:val="center"/>
              <w:rPr>
                <w:color w:val="000000"/>
                <w:kern w:val="0"/>
                <w:szCs w:val="21"/>
              </w:rPr>
            </w:pPr>
            <w:r>
              <w:rPr>
                <w:color w:val="000000"/>
                <w:kern w:val="0"/>
                <w:szCs w:val="21"/>
              </w:rPr>
              <w:t>92.3</w:t>
            </w:r>
          </w:p>
        </w:tc>
        <w:tc>
          <w:tcPr>
            <w:tcW w:w="635" w:type="dxa"/>
            <w:vAlign w:val="center"/>
          </w:tcPr>
          <w:p>
            <w:pPr>
              <w:widowControl/>
              <w:jc w:val="center"/>
              <w:rPr>
                <w:color w:val="000000"/>
                <w:kern w:val="0"/>
                <w:szCs w:val="21"/>
              </w:rPr>
            </w:pPr>
            <w:r>
              <w:rPr>
                <w:color w:val="000000"/>
                <w:kern w:val="0"/>
                <w:szCs w:val="21"/>
              </w:rPr>
              <w:t>7.7</w:t>
            </w:r>
          </w:p>
        </w:tc>
        <w:tc>
          <w:tcPr>
            <w:tcW w:w="843" w:type="dxa"/>
            <w:vAlign w:val="center"/>
          </w:tcPr>
          <w:p>
            <w:pPr>
              <w:widowControl/>
              <w:jc w:val="center"/>
              <w:rPr>
                <w:color w:val="000000"/>
                <w:kern w:val="0"/>
                <w:szCs w:val="21"/>
              </w:rPr>
            </w:pPr>
            <w:r>
              <w:rPr>
                <w:color w:val="000000"/>
                <w:kern w:val="0"/>
                <w:szCs w:val="21"/>
              </w:rPr>
              <w:t>0.0</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3"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4.19</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841" w:type="dxa"/>
            <w:vAlign w:val="center"/>
          </w:tcPr>
          <w:p>
            <w:pPr>
              <w:widowControl/>
              <w:jc w:val="center"/>
              <w:rPr>
                <w:color w:val="000000"/>
                <w:kern w:val="0"/>
                <w:szCs w:val="21"/>
              </w:rPr>
            </w:pPr>
            <w:r>
              <w:rPr>
                <w:color w:val="000000"/>
                <w:kern w:val="0"/>
                <w:szCs w:val="21"/>
              </w:rPr>
              <w:t>33.3</w:t>
            </w:r>
          </w:p>
        </w:tc>
        <w:tc>
          <w:tcPr>
            <w:tcW w:w="635" w:type="dxa"/>
            <w:vAlign w:val="center"/>
          </w:tcPr>
          <w:p>
            <w:pPr>
              <w:widowControl/>
              <w:jc w:val="center"/>
              <w:rPr>
                <w:color w:val="000000"/>
                <w:kern w:val="0"/>
                <w:szCs w:val="21"/>
              </w:rPr>
            </w:pPr>
            <w:r>
              <w:rPr>
                <w:color w:val="000000"/>
                <w:kern w:val="0"/>
                <w:szCs w:val="21"/>
              </w:rPr>
              <w:t>51.9</w:t>
            </w:r>
          </w:p>
        </w:tc>
        <w:tc>
          <w:tcPr>
            <w:tcW w:w="843" w:type="dxa"/>
            <w:vAlign w:val="center"/>
          </w:tcPr>
          <w:p>
            <w:pPr>
              <w:widowControl/>
              <w:jc w:val="center"/>
              <w:rPr>
                <w:color w:val="000000"/>
                <w:kern w:val="0"/>
                <w:szCs w:val="21"/>
              </w:rPr>
            </w:pPr>
            <w:r>
              <w:rPr>
                <w:color w:val="000000"/>
                <w:kern w:val="0"/>
                <w:szCs w:val="21"/>
              </w:rPr>
              <w:t>14.8</w:t>
            </w:r>
          </w:p>
        </w:tc>
        <w:tc>
          <w:tcPr>
            <w:tcW w:w="839" w:type="dxa"/>
            <w:vAlign w:val="center"/>
          </w:tcPr>
          <w:p>
            <w:pPr>
              <w:widowControl/>
              <w:jc w:val="center"/>
              <w:rPr>
                <w:color w:val="000000"/>
                <w:kern w:val="0"/>
                <w:szCs w:val="21"/>
              </w:rPr>
            </w:pPr>
            <w:r>
              <w:rPr>
                <w:color w:val="000000"/>
                <w:kern w:val="0"/>
                <w:szCs w:val="21"/>
              </w:rPr>
              <w:t>0.0</w:t>
            </w:r>
          </w:p>
        </w:tc>
        <w:tc>
          <w:tcPr>
            <w:tcW w:w="104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29"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4.41</w:t>
            </w:r>
          </w:p>
        </w:tc>
        <w:tc>
          <w:tcPr>
            <w:tcW w:w="846" w:type="dxa"/>
            <w:shd w:val="clear" w:color="auto" w:fill="auto"/>
            <w:vAlign w:val="center"/>
          </w:tcPr>
          <w:p>
            <w:pPr>
              <w:widowControl/>
              <w:jc w:val="center"/>
              <w:rPr>
                <w:color w:val="000000"/>
                <w:kern w:val="0"/>
                <w:szCs w:val="21"/>
              </w:rPr>
            </w:pPr>
            <w:r>
              <w:rPr>
                <w:color w:val="000000"/>
                <w:kern w:val="0"/>
                <w:szCs w:val="21"/>
              </w:rPr>
              <w:t>0.74</w:t>
            </w:r>
          </w:p>
        </w:tc>
        <w:tc>
          <w:tcPr>
            <w:tcW w:w="841" w:type="dxa"/>
            <w:vAlign w:val="center"/>
          </w:tcPr>
          <w:p>
            <w:pPr>
              <w:widowControl/>
              <w:jc w:val="center"/>
              <w:rPr>
                <w:color w:val="000000"/>
                <w:kern w:val="0"/>
                <w:szCs w:val="21"/>
              </w:rPr>
            </w:pPr>
            <w:r>
              <w:rPr>
                <w:color w:val="000000"/>
                <w:kern w:val="0"/>
                <w:szCs w:val="21"/>
              </w:rPr>
              <w:t>53.1</w:t>
            </w:r>
          </w:p>
        </w:tc>
        <w:tc>
          <w:tcPr>
            <w:tcW w:w="635" w:type="dxa"/>
            <w:vAlign w:val="center"/>
          </w:tcPr>
          <w:p>
            <w:pPr>
              <w:widowControl/>
              <w:jc w:val="center"/>
              <w:rPr>
                <w:color w:val="000000"/>
                <w:kern w:val="0"/>
                <w:szCs w:val="21"/>
              </w:rPr>
            </w:pPr>
            <w:r>
              <w:rPr>
                <w:color w:val="000000"/>
                <w:kern w:val="0"/>
                <w:szCs w:val="21"/>
              </w:rPr>
              <w:t>37.6</w:t>
            </w:r>
          </w:p>
        </w:tc>
        <w:tc>
          <w:tcPr>
            <w:tcW w:w="843" w:type="dxa"/>
            <w:vAlign w:val="center"/>
          </w:tcPr>
          <w:p>
            <w:pPr>
              <w:widowControl/>
              <w:jc w:val="center"/>
              <w:rPr>
                <w:color w:val="000000"/>
                <w:kern w:val="0"/>
                <w:szCs w:val="21"/>
              </w:rPr>
            </w:pPr>
            <w:r>
              <w:rPr>
                <w:color w:val="000000"/>
                <w:kern w:val="0"/>
                <w:szCs w:val="21"/>
              </w:rPr>
              <w:t>7.5</w:t>
            </w:r>
          </w:p>
        </w:tc>
        <w:tc>
          <w:tcPr>
            <w:tcW w:w="839" w:type="dxa"/>
            <w:vAlign w:val="center"/>
          </w:tcPr>
          <w:p>
            <w:pPr>
              <w:widowControl/>
              <w:jc w:val="center"/>
              <w:rPr>
                <w:color w:val="000000"/>
                <w:kern w:val="0"/>
                <w:szCs w:val="21"/>
              </w:rPr>
            </w:pPr>
            <w:r>
              <w:rPr>
                <w:color w:val="000000"/>
                <w:kern w:val="0"/>
                <w:szCs w:val="21"/>
              </w:rPr>
              <w:t>0.9</w:t>
            </w:r>
          </w:p>
        </w:tc>
        <w:tc>
          <w:tcPr>
            <w:tcW w:w="1045" w:type="dxa"/>
            <w:vAlign w:val="center"/>
          </w:tcPr>
          <w:p>
            <w:pPr>
              <w:widowControl/>
              <w:jc w:val="center"/>
              <w:rPr>
                <w:color w:val="000000"/>
                <w:kern w:val="0"/>
                <w:szCs w:val="21"/>
              </w:rPr>
            </w:pPr>
            <w:r>
              <w:rPr>
                <w:color w:val="000000"/>
                <w:kern w:val="0"/>
                <w:szCs w:val="21"/>
              </w:rPr>
              <w:t>0.9</w:t>
            </w:r>
          </w:p>
        </w:tc>
        <w:tc>
          <w:tcPr>
            <w:tcW w:w="1104" w:type="dxa"/>
            <w:shd w:val="clear" w:color="auto" w:fill="auto"/>
            <w:vAlign w:val="center"/>
          </w:tcPr>
          <w:p>
            <w:pPr>
              <w:widowControl/>
              <w:jc w:val="center"/>
              <w:rPr>
                <w:color w:val="000000"/>
                <w:kern w:val="0"/>
                <w:szCs w:val="21"/>
              </w:rPr>
            </w:pPr>
          </w:p>
        </w:tc>
      </w:tr>
    </w:tbl>
    <w:p>
      <w:r>
        <w:rPr>
          <w:rFonts w:hint="eastAsia"/>
          <w:sz w:val="20"/>
          <w:szCs w:val="20"/>
        </w:rPr>
        <w:t>注：得分5=很愿意，4=愿意，3=不好说，2=不愿意，1=很不愿意</w:t>
      </w:r>
    </w:p>
    <w:p/>
    <w:p>
      <w:pPr>
        <w:pStyle w:val="67"/>
      </w:pPr>
      <w:bookmarkStart w:id="112" w:name="_Toc470167387"/>
      <w:r>
        <w:rPr>
          <w:rFonts w:hint="eastAsia"/>
        </w:rPr>
        <w:t>2、专业培养情况</w:t>
      </w:r>
      <w:bookmarkEnd w:id="112"/>
    </w:p>
    <w:p>
      <w:pPr>
        <w:pStyle w:val="70"/>
      </w:pPr>
      <w:r>
        <w:rPr>
          <w:rFonts w:hint="eastAsia"/>
        </w:rPr>
        <w:t>（1）对本专业课程设置的评价</w:t>
      </w:r>
    </w:p>
    <w:p>
      <w:pPr>
        <w:pStyle w:val="75"/>
      </w:pPr>
      <w:bookmarkStart w:id="113" w:name="PO_33121"/>
      <w:bookmarkEnd w:id="113"/>
      <w:r>
        <w:rPr>
          <w:rFonts w:hint="eastAsia"/>
        </w:rPr>
        <w:t>①总体情况</w:t>
      </w:r>
    </w:p>
    <w:p>
      <w:pPr>
        <w:pStyle w:val="37"/>
        <w:ind w:firstLine="480"/>
      </w:pPr>
      <w:r>
        <w:rPr>
          <w:rFonts w:hint="eastAsia"/>
        </w:rPr>
        <w:t>对于本专业课程设置的满意程度，84.9%的本科生表示“很满意”或“满意”，11.1%认为“不好说”，3.9%则表示“不满意”或“很不满意”。</w:t>
      </w:r>
    </w:p>
    <w:p>
      <w:pPr>
        <w:jc w:val="center"/>
      </w:pPr>
      <w:r>
        <w:rPr>
          <w:rFonts w:hint="eastAsia"/>
        </w:rPr>
        <w:drawing>
          <wp:inline distT="0" distB="0" distL="0" distR="0">
            <wp:extent cx="6076950" cy="3077210"/>
            <wp:effectExtent l="19050" t="0" r="19050" b="8890"/>
            <wp:docPr id="37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59"/>
        <w:spacing w:before="156" w:after="312"/>
      </w:pPr>
      <w:r>
        <w:rPr>
          <w:rFonts w:hint="eastAsia"/>
        </w:rPr>
        <w:t>本科生对本专业课程设置的评价</w:t>
      </w:r>
    </w:p>
    <w:p>
      <w:pPr>
        <w:pStyle w:val="75"/>
      </w:pPr>
      <w:r>
        <w:rPr>
          <w:rFonts w:hint="eastAsia"/>
        </w:rPr>
        <w:t>②不同专业本科生对本专业课程设置的评价</w:t>
      </w:r>
    </w:p>
    <w:p>
      <w:pPr>
        <w:pStyle w:val="37"/>
        <w:ind w:firstLine="480"/>
      </w:pPr>
      <w:r>
        <w:rPr>
          <w:rFonts w:hint="eastAsia"/>
        </w:rPr>
        <w:t>就专业而言，方差检验显示，不同专业的本科生对本专业课程设置的评价存在显著性差异（F=2.26，p&lt;0.01）。其中，对于本专业课程设置满意程度排在前三名的专业依次为：播音与主持、表演、电视剧创作。</w:t>
      </w:r>
    </w:p>
    <w:p>
      <w:pPr>
        <w:jc w:val="center"/>
      </w:pPr>
      <w:r>
        <w:rPr>
          <w:rFonts w:hint="eastAsia"/>
        </w:rPr>
        <w:drawing>
          <wp:inline distT="0" distB="0" distL="0" distR="0">
            <wp:extent cx="5791200" cy="8305800"/>
            <wp:effectExtent l="19050" t="0" r="19050" b="0"/>
            <wp:docPr id="3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59"/>
        <w:spacing w:before="156" w:after="312"/>
      </w:pPr>
      <w:r>
        <w:rPr>
          <w:rFonts w:hint="eastAsia"/>
        </w:rPr>
        <w:t>不同专业本科生对本专业课程设置的评价</w:t>
      </w:r>
    </w:p>
    <w:p>
      <w:pPr>
        <w:pStyle w:val="53"/>
        <w:spacing w:before="312" w:after="156"/>
      </w:pPr>
      <w:r>
        <w:rPr>
          <w:rFonts w:hint="eastAsia"/>
        </w:rPr>
        <w:t>本科生对本专业课程设置的评价</w:t>
      </w:r>
    </w:p>
    <w:tbl>
      <w:tblPr>
        <w:tblStyle w:val="33"/>
        <w:tblW w:w="983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6"/>
        <w:gridCol w:w="636"/>
        <w:gridCol w:w="846"/>
        <w:gridCol w:w="846"/>
        <w:gridCol w:w="636"/>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30"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4.41</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51.2</w:t>
            </w:r>
          </w:p>
        </w:tc>
        <w:tc>
          <w:tcPr>
            <w:tcW w:w="636" w:type="dxa"/>
            <w:vAlign w:val="center"/>
          </w:tcPr>
          <w:p>
            <w:pPr>
              <w:widowControl/>
              <w:jc w:val="center"/>
              <w:rPr>
                <w:color w:val="000000"/>
                <w:kern w:val="0"/>
                <w:szCs w:val="21"/>
              </w:rPr>
            </w:pPr>
            <w:r>
              <w:rPr>
                <w:color w:val="000000"/>
                <w:kern w:val="0"/>
                <w:szCs w:val="21"/>
              </w:rPr>
              <w:t>41.5</w:t>
            </w:r>
          </w:p>
        </w:tc>
        <w:tc>
          <w:tcPr>
            <w:tcW w:w="846" w:type="dxa"/>
            <w:vAlign w:val="center"/>
          </w:tcPr>
          <w:p>
            <w:pPr>
              <w:widowControl/>
              <w:jc w:val="center"/>
              <w:rPr>
                <w:color w:val="000000"/>
                <w:kern w:val="0"/>
                <w:szCs w:val="21"/>
              </w:rPr>
            </w:pPr>
            <w:r>
              <w:rPr>
                <w:color w:val="000000"/>
                <w:kern w:val="0"/>
                <w:szCs w:val="21"/>
              </w:rPr>
              <w:t>4.9</w:t>
            </w:r>
          </w:p>
        </w:tc>
        <w:tc>
          <w:tcPr>
            <w:tcW w:w="846" w:type="dxa"/>
            <w:vAlign w:val="center"/>
          </w:tcPr>
          <w:p>
            <w:pPr>
              <w:widowControl/>
              <w:jc w:val="center"/>
              <w:rPr>
                <w:color w:val="000000"/>
                <w:kern w:val="0"/>
                <w:szCs w:val="21"/>
              </w:rPr>
            </w:pPr>
            <w:r>
              <w:rPr>
                <w:color w:val="000000"/>
                <w:kern w:val="0"/>
                <w:szCs w:val="21"/>
              </w:rPr>
              <w:t>2.4</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F=2.26**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4.57</w:t>
            </w:r>
          </w:p>
        </w:tc>
        <w:tc>
          <w:tcPr>
            <w:tcW w:w="846" w:type="dxa"/>
            <w:shd w:val="clear" w:color="auto" w:fill="auto"/>
            <w:vAlign w:val="center"/>
          </w:tcPr>
          <w:p>
            <w:pPr>
              <w:widowControl/>
              <w:jc w:val="center"/>
              <w:rPr>
                <w:color w:val="000000"/>
                <w:kern w:val="0"/>
                <w:szCs w:val="21"/>
              </w:rPr>
            </w:pPr>
            <w:r>
              <w:rPr>
                <w:color w:val="000000"/>
                <w:kern w:val="0"/>
                <w:szCs w:val="21"/>
              </w:rPr>
              <w:t>0.51</w:t>
            </w:r>
          </w:p>
        </w:tc>
        <w:tc>
          <w:tcPr>
            <w:tcW w:w="846" w:type="dxa"/>
            <w:vAlign w:val="center"/>
          </w:tcPr>
          <w:p>
            <w:pPr>
              <w:widowControl/>
              <w:jc w:val="center"/>
              <w:rPr>
                <w:color w:val="000000"/>
                <w:kern w:val="0"/>
                <w:szCs w:val="21"/>
              </w:rPr>
            </w:pPr>
            <w:r>
              <w:rPr>
                <w:color w:val="000000"/>
                <w:kern w:val="0"/>
                <w:szCs w:val="21"/>
              </w:rPr>
              <w:t>56.5</w:t>
            </w:r>
          </w:p>
        </w:tc>
        <w:tc>
          <w:tcPr>
            <w:tcW w:w="636" w:type="dxa"/>
            <w:vAlign w:val="center"/>
          </w:tcPr>
          <w:p>
            <w:pPr>
              <w:widowControl/>
              <w:jc w:val="center"/>
              <w:rPr>
                <w:color w:val="000000"/>
                <w:kern w:val="0"/>
                <w:szCs w:val="21"/>
              </w:rPr>
            </w:pPr>
            <w:r>
              <w:rPr>
                <w:color w:val="000000"/>
                <w:kern w:val="0"/>
                <w:szCs w:val="21"/>
              </w:rPr>
              <w:t>43.5</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4.23</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846" w:type="dxa"/>
            <w:vAlign w:val="center"/>
          </w:tcPr>
          <w:p>
            <w:pPr>
              <w:widowControl/>
              <w:jc w:val="center"/>
              <w:rPr>
                <w:color w:val="000000"/>
                <w:kern w:val="0"/>
                <w:szCs w:val="21"/>
              </w:rPr>
            </w:pPr>
            <w:r>
              <w:rPr>
                <w:color w:val="000000"/>
                <w:kern w:val="0"/>
                <w:szCs w:val="21"/>
              </w:rPr>
              <w:t>46.2</w:t>
            </w:r>
          </w:p>
        </w:tc>
        <w:tc>
          <w:tcPr>
            <w:tcW w:w="636" w:type="dxa"/>
            <w:vAlign w:val="center"/>
          </w:tcPr>
          <w:p>
            <w:pPr>
              <w:widowControl/>
              <w:jc w:val="center"/>
              <w:rPr>
                <w:color w:val="000000"/>
                <w:kern w:val="0"/>
                <w:szCs w:val="21"/>
              </w:rPr>
            </w:pPr>
            <w:r>
              <w:rPr>
                <w:color w:val="000000"/>
                <w:kern w:val="0"/>
                <w:szCs w:val="21"/>
              </w:rPr>
              <w:t>30.8</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33.3</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4.30</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846" w:type="dxa"/>
            <w:vAlign w:val="center"/>
          </w:tcPr>
          <w:p>
            <w:pPr>
              <w:widowControl/>
              <w:jc w:val="center"/>
              <w:rPr>
                <w:color w:val="000000"/>
                <w:kern w:val="0"/>
                <w:szCs w:val="21"/>
              </w:rPr>
            </w:pPr>
            <w:r>
              <w:rPr>
                <w:color w:val="000000"/>
                <w:kern w:val="0"/>
                <w:szCs w:val="21"/>
              </w:rPr>
              <w:t>40.0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0.93</w:t>
            </w:r>
          </w:p>
        </w:tc>
        <w:tc>
          <w:tcPr>
            <w:tcW w:w="846" w:type="dxa"/>
            <w:vAlign w:val="center"/>
          </w:tcPr>
          <w:p>
            <w:pPr>
              <w:widowControl/>
              <w:jc w:val="center"/>
              <w:rPr>
                <w:color w:val="000000"/>
                <w:kern w:val="0"/>
                <w:szCs w:val="21"/>
              </w:rPr>
            </w:pPr>
            <w:r>
              <w:rPr>
                <w:color w:val="000000"/>
                <w:kern w:val="0"/>
                <w:szCs w:val="21"/>
              </w:rPr>
              <w:t>37.5</w:t>
            </w:r>
          </w:p>
        </w:tc>
        <w:tc>
          <w:tcPr>
            <w:tcW w:w="63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37.5</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0.84</w:t>
            </w:r>
          </w:p>
        </w:tc>
        <w:tc>
          <w:tcPr>
            <w:tcW w:w="846"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0.60</w:t>
            </w:r>
          </w:p>
        </w:tc>
        <w:tc>
          <w:tcPr>
            <w:tcW w:w="846" w:type="dxa"/>
            <w:vAlign w:val="center"/>
          </w:tcPr>
          <w:p>
            <w:pPr>
              <w:widowControl/>
              <w:jc w:val="center"/>
              <w:rPr>
                <w:color w:val="000000"/>
                <w:kern w:val="0"/>
                <w:szCs w:val="21"/>
              </w:rPr>
            </w:pPr>
            <w:r>
              <w:rPr>
                <w:color w:val="000000"/>
                <w:kern w:val="0"/>
                <w:szCs w:val="21"/>
              </w:rPr>
              <w:t>16.7</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16.7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4.11</w:t>
            </w:r>
          </w:p>
        </w:tc>
        <w:tc>
          <w:tcPr>
            <w:tcW w:w="846" w:type="dxa"/>
            <w:shd w:val="clear" w:color="auto" w:fill="auto"/>
            <w:vAlign w:val="center"/>
          </w:tcPr>
          <w:p>
            <w:pPr>
              <w:widowControl/>
              <w:jc w:val="center"/>
              <w:rPr>
                <w:color w:val="000000"/>
                <w:kern w:val="0"/>
                <w:szCs w:val="21"/>
              </w:rPr>
            </w:pPr>
            <w:r>
              <w:rPr>
                <w:color w:val="000000"/>
                <w:kern w:val="0"/>
                <w:szCs w:val="21"/>
              </w:rPr>
              <w:t>0.60</w:t>
            </w:r>
          </w:p>
        </w:tc>
        <w:tc>
          <w:tcPr>
            <w:tcW w:w="846" w:type="dxa"/>
            <w:vAlign w:val="center"/>
          </w:tcPr>
          <w:p>
            <w:pPr>
              <w:widowControl/>
              <w:jc w:val="center"/>
              <w:rPr>
                <w:color w:val="000000"/>
                <w:kern w:val="0"/>
                <w:szCs w:val="21"/>
              </w:rPr>
            </w:pPr>
            <w:r>
              <w:rPr>
                <w:color w:val="000000"/>
                <w:kern w:val="0"/>
                <w:szCs w:val="21"/>
              </w:rPr>
              <w:t>22.2</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11.1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3.82</w:t>
            </w:r>
          </w:p>
        </w:tc>
        <w:tc>
          <w:tcPr>
            <w:tcW w:w="846" w:type="dxa"/>
            <w:shd w:val="clear" w:color="auto" w:fill="auto"/>
            <w:vAlign w:val="center"/>
          </w:tcPr>
          <w:p>
            <w:pPr>
              <w:widowControl/>
              <w:jc w:val="center"/>
              <w:rPr>
                <w:color w:val="000000"/>
                <w:kern w:val="0"/>
                <w:szCs w:val="21"/>
              </w:rPr>
            </w:pPr>
            <w:r>
              <w:rPr>
                <w:color w:val="000000"/>
                <w:kern w:val="0"/>
                <w:szCs w:val="21"/>
              </w:rPr>
              <w:t>1.17</w:t>
            </w:r>
          </w:p>
        </w:tc>
        <w:tc>
          <w:tcPr>
            <w:tcW w:w="846" w:type="dxa"/>
            <w:vAlign w:val="center"/>
          </w:tcPr>
          <w:p>
            <w:pPr>
              <w:widowControl/>
              <w:jc w:val="center"/>
              <w:rPr>
                <w:color w:val="000000"/>
                <w:kern w:val="0"/>
                <w:szCs w:val="21"/>
              </w:rPr>
            </w:pPr>
            <w:r>
              <w:rPr>
                <w:color w:val="000000"/>
                <w:kern w:val="0"/>
                <w:szCs w:val="21"/>
              </w:rPr>
              <w:t>27.3</w:t>
            </w:r>
          </w:p>
        </w:tc>
        <w:tc>
          <w:tcPr>
            <w:tcW w:w="636" w:type="dxa"/>
            <w:vAlign w:val="center"/>
          </w:tcPr>
          <w:p>
            <w:pPr>
              <w:widowControl/>
              <w:jc w:val="center"/>
              <w:rPr>
                <w:color w:val="000000"/>
                <w:kern w:val="0"/>
                <w:szCs w:val="21"/>
              </w:rPr>
            </w:pPr>
            <w:r>
              <w:rPr>
                <w:color w:val="000000"/>
                <w:kern w:val="0"/>
                <w:szCs w:val="21"/>
              </w:rPr>
              <w:t>45.5</w:t>
            </w:r>
          </w:p>
        </w:tc>
        <w:tc>
          <w:tcPr>
            <w:tcW w:w="846" w:type="dxa"/>
            <w:vAlign w:val="center"/>
          </w:tcPr>
          <w:p>
            <w:pPr>
              <w:widowControl/>
              <w:jc w:val="center"/>
              <w:rPr>
                <w:color w:val="000000"/>
                <w:kern w:val="0"/>
                <w:szCs w:val="21"/>
              </w:rPr>
            </w:pPr>
            <w:r>
              <w:rPr>
                <w:color w:val="000000"/>
                <w:kern w:val="0"/>
                <w:szCs w:val="21"/>
              </w:rPr>
              <w:t>18.2</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9.1</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4.24</w:t>
            </w:r>
          </w:p>
        </w:tc>
        <w:tc>
          <w:tcPr>
            <w:tcW w:w="846" w:type="dxa"/>
            <w:shd w:val="clear" w:color="auto" w:fill="auto"/>
            <w:vAlign w:val="center"/>
          </w:tcPr>
          <w:p>
            <w:pPr>
              <w:widowControl/>
              <w:jc w:val="center"/>
              <w:rPr>
                <w:color w:val="000000"/>
                <w:kern w:val="0"/>
                <w:szCs w:val="21"/>
              </w:rPr>
            </w:pPr>
            <w:r>
              <w:rPr>
                <w:color w:val="000000"/>
                <w:kern w:val="0"/>
                <w:szCs w:val="21"/>
              </w:rPr>
              <w:t>0.66</w:t>
            </w:r>
          </w:p>
        </w:tc>
        <w:tc>
          <w:tcPr>
            <w:tcW w:w="846" w:type="dxa"/>
            <w:vAlign w:val="center"/>
          </w:tcPr>
          <w:p>
            <w:pPr>
              <w:widowControl/>
              <w:jc w:val="center"/>
              <w:rPr>
                <w:color w:val="000000"/>
                <w:kern w:val="0"/>
                <w:szCs w:val="21"/>
              </w:rPr>
            </w:pPr>
            <w:r>
              <w:rPr>
                <w:color w:val="000000"/>
                <w:kern w:val="0"/>
                <w:szCs w:val="21"/>
              </w:rPr>
              <w:t>32.0</w:t>
            </w:r>
          </w:p>
        </w:tc>
        <w:tc>
          <w:tcPr>
            <w:tcW w:w="636" w:type="dxa"/>
            <w:vAlign w:val="center"/>
          </w:tcPr>
          <w:p>
            <w:pPr>
              <w:widowControl/>
              <w:jc w:val="center"/>
              <w:rPr>
                <w:color w:val="000000"/>
                <w:kern w:val="0"/>
                <w:szCs w:val="21"/>
              </w:rPr>
            </w:pPr>
            <w:r>
              <w:rPr>
                <w:color w:val="000000"/>
                <w:kern w:val="0"/>
                <w:szCs w:val="21"/>
              </w:rPr>
              <w:t>64.0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4.0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2.00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100.0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3.84</w:t>
            </w:r>
          </w:p>
        </w:tc>
        <w:tc>
          <w:tcPr>
            <w:tcW w:w="846" w:type="dxa"/>
            <w:shd w:val="clear" w:color="auto" w:fill="auto"/>
            <w:vAlign w:val="center"/>
          </w:tcPr>
          <w:p>
            <w:pPr>
              <w:widowControl/>
              <w:jc w:val="center"/>
              <w:rPr>
                <w:color w:val="000000"/>
                <w:kern w:val="0"/>
                <w:szCs w:val="21"/>
              </w:rPr>
            </w:pPr>
            <w:r>
              <w:rPr>
                <w:color w:val="000000"/>
                <w:kern w:val="0"/>
                <w:szCs w:val="21"/>
              </w:rPr>
              <w:t>0.94</w:t>
            </w:r>
          </w:p>
        </w:tc>
        <w:tc>
          <w:tcPr>
            <w:tcW w:w="846" w:type="dxa"/>
            <w:vAlign w:val="center"/>
          </w:tcPr>
          <w:p>
            <w:pPr>
              <w:widowControl/>
              <w:jc w:val="center"/>
              <w:rPr>
                <w:color w:val="000000"/>
                <w:kern w:val="0"/>
                <w:szCs w:val="21"/>
              </w:rPr>
            </w:pPr>
            <w:r>
              <w:rPr>
                <w:color w:val="000000"/>
                <w:kern w:val="0"/>
                <w:szCs w:val="21"/>
              </w:rPr>
              <w:t>24.0</w:t>
            </w:r>
          </w:p>
        </w:tc>
        <w:tc>
          <w:tcPr>
            <w:tcW w:w="636" w:type="dxa"/>
            <w:vAlign w:val="center"/>
          </w:tcPr>
          <w:p>
            <w:pPr>
              <w:widowControl/>
              <w:jc w:val="center"/>
              <w:rPr>
                <w:color w:val="000000"/>
                <w:kern w:val="0"/>
                <w:szCs w:val="21"/>
              </w:rPr>
            </w:pPr>
            <w:r>
              <w:rPr>
                <w:color w:val="000000"/>
                <w:kern w:val="0"/>
                <w:szCs w:val="21"/>
              </w:rPr>
              <w:t>48.0</w:t>
            </w:r>
          </w:p>
        </w:tc>
        <w:tc>
          <w:tcPr>
            <w:tcW w:w="846" w:type="dxa"/>
            <w:vAlign w:val="center"/>
          </w:tcPr>
          <w:p>
            <w:pPr>
              <w:widowControl/>
              <w:jc w:val="center"/>
              <w:rPr>
                <w:color w:val="000000"/>
                <w:kern w:val="0"/>
                <w:szCs w:val="21"/>
              </w:rPr>
            </w:pPr>
            <w:r>
              <w:rPr>
                <w:color w:val="000000"/>
                <w:kern w:val="0"/>
                <w:szCs w:val="21"/>
              </w:rPr>
              <w:t>16.0</w:t>
            </w:r>
          </w:p>
        </w:tc>
        <w:tc>
          <w:tcPr>
            <w:tcW w:w="846" w:type="dxa"/>
            <w:vAlign w:val="center"/>
          </w:tcPr>
          <w:p>
            <w:pPr>
              <w:widowControl/>
              <w:jc w:val="center"/>
              <w:rPr>
                <w:color w:val="000000"/>
                <w:kern w:val="0"/>
                <w:szCs w:val="21"/>
              </w:rPr>
            </w:pPr>
            <w:r>
              <w:rPr>
                <w:color w:val="000000"/>
                <w:kern w:val="0"/>
                <w:szCs w:val="21"/>
              </w:rPr>
              <w:t>12.0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4.31</w:t>
            </w:r>
          </w:p>
        </w:tc>
        <w:tc>
          <w:tcPr>
            <w:tcW w:w="846" w:type="dxa"/>
            <w:shd w:val="clear" w:color="auto" w:fill="auto"/>
            <w:vAlign w:val="center"/>
          </w:tcPr>
          <w:p>
            <w:pPr>
              <w:widowControl/>
              <w:jc w:val="center"/>
              <w:rPr>
                <w:color w:val="000000"/>
                <w:kern w:val="0"/>
                <w:szCs w:val="21"/>
              </w:rPr>
            </w:pPr>
            <w:r>
              <w:rPr>
                <w:color w:val="000000"/>
                <w:kern w:val="0"/>
                <w:szCs w:val="21"/>
              </w:rPr>
              <w:t>0.75</w:t>
            </w:r>
          </w:p>
        </w:tc>
        <w:tc>
          <w:tcPr>
            <w:tcW w:w="846" w:type="dxa"/>
            <w:vAlign w:val="center"/>
          </w:tcPr>
          <w:p>
            <w:pPr>
              <w:widowControl/>
              <w:jc w:val="center"/>
              <w:rPr>
                <w:color w:val="000000"/>
                <w:kern w:val="0"/>
                <w:szCs w:val="21"/>
              </w:rPr>
            </w:pPr>
            <w:r>
              <w:rPr>
                <w:color w:val="000000"/>
                <w:kern w:val="0"/>
                <w:szCs w:val="21"/>
              </w:rPr>
              <w:t>46.2</w:t>
            </w:r>
          </w:p>
        </w:tc>
        <w:tc>
          <w:tcPr>
            <w:tcW w:w="636"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15.4</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3.93</w:t>
            </w:r>
          </w:p>
        </w:tc>
        <w:tc>
          <w:tcPr>
            <w:tcW w:w="846" w:type="dxa"/>
            <w:shd w:val="clear" w:color="auto" w:fill="auto"/>
            <w:vAlign w:val="center"/>
          </w:tcPr>
          <w:p>
            <w:pPr>
              <w:widowControl/>
              <w:jc w:val="center"/>
              <w:rPr>
                <w:color w:val="000000"/>
                <w:kern w:val="0"/>
                <w:szCs w:val="21"/>
              </w:rPr>
            </w:pPr>
            <w:r>
              <w:rPr>
                <w:color w:val="000000"/>
                <w:kern w:val="0"/>
                <w:szCs w:val="21"/>
              </w:rPr>
              <w:t>0.78</w:t>
            </w:r>
          </w:p>
        </w:tc>
        <w:tc>
          <w:tcPr>
            <w:tcW w:w="846" w:type="dxa"/>
            <w:vAlign w:val="center"/>
          </w:tcPr>
          <w:p>
            <w:pPr>
              <w:widowControl/>
              <w:jc w:val="center"/>
              <w:rPr>
                <w:color w:val="000000"/>
                <w:kern w:val="0"/>
                <w:szCs w:val="21"/>
              </w:rPr>
            </w:pPr>
            <w:r>
              <w:rPr>
                <w:color w:val="000000"/>
                <w:kern w:val="0"/>
                <w:szCs w:val="21"/>
              </w:rPr>
              <w:t>18.5</w:t>
            </w:r>
          </w:p>
        </w:tc>
        <w:tc>
          <w:tcPr>
            <w:tcW w:w="636" w:type="dxa"/>
            <w:vAlign w:val="center"/>
          </w:tcPr>
          <w:p>
            <w:pPr>
              <w:widowControl/>
              <w:jc w:val="center"/>
              <w:rPr>
                <w:color w:val="000000"/>
                <w:kern w:val="0"/>
                <w:szCs w:val="21"/>
              </w:rPr>
            </w:pPr>
            <w:r>
              <w:rPr>
                <w:color w:val="000000"/>
                <w:kern w:val="0"/>
                <w:szCs w:val="21"/>
              </w:rPr>
              <w:t>63.0</w:t>
            </w:r>
          </w:p>
        </w:tc>
        <w:tc>
          <w:tcPr>
            <w:tcW w:w="846" w:type="dxa"/>
            <w:vAlign w:val="center"/>
          </w:tcPr>
          <w:p>
            <w:pPr>
              <w:widowControl/>
              <w:jc w:val="center"/>
              <w:rPr>
                <w:color w:val="000000"/>
                <w:kern w:val="0"/>
                <w:szCs w:val="21"/>
              </w:rPr>
            </w:pPr>
            <w:r>
              <w:rPr>
                <w:color w:val="000000"/>
                <w:kern w:val="0"/>
                <w:szCs w:val="21"/>
              </w:rPr>
              <w:t>11.1</w:t>
            </w:r>
          </w:p>
        </w:tc>
        <w:tc>
          <w:tcPr>
            <w:tcW w:w="846" w:type="dxa"/>
            <w:vAlign w:val="center"/>
          </w:tcPr>
          <w:p>
            <w:pPr>
              <w:widowControl/>
              <w:jc w:val="center"/>
              <w:rPr>
                <w:color w:val="000000"/>
                <w:kern w:val="0"/>
                <w:szCs w:val="21"/>
              </w:rPr>
            </w:pPr>
            <w:r>
              <w:rPr>
                <w:color w:val="000000"/>
                <w:kern w:val="0"/>
                <w:szCs w:val="21"/>
              </w:rPr>
              <w:t>7.4</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3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4.16</w:t>
            </w:r>
          </w:p>
        </w:tc>
        <w:tc>
          <w:tcPr>
            <w:tcW w:w="846" w:type="dxa"/>
            <w:shd w:val="clear" w:color="auto" w:fill="auto"/>
            <w:vAlign w:val="center"/>
          </w:tcPr>
          <w:p>
            <w:pPr>
              <w:widowControl/>
              <w:jc w:val="center"/>
              <w:rPr>
                <w:color w:val="000000"/>
                <w:kern w:val="0"/>
                <w:szCs w:val="21"/>
              </w:rPr>
            </w:pPr>
            <w:r>
              <w:rPr>
                <w:color w:val="000000"/>
                <w:kern w:val="0"/>
                <w:szCs w:val="21"/>
              </w:rPr>
              <w:t>0.79</w:t>
            </w:r>
          </w:p>
        </w:tc>
        <w:tc>
          <w:tcPr>
            <w:tcW w:w="846" w:type="dxa"/>
            <w:vAlign w:val="center"/>
          </w:tcPr>
          <w:p>
            <w:pPr>
              <w:widowControl/>
              <w:jc w:val="center"/>
              <w:rPr>
                <w:color w:val="000000"/>
                <w:kern w:val="0"/>
                <w:szCs w:val="21"/>
              </w:rPr>
            </w:pPr>
            <w:r>
              <w:rPr>
                <w:color w:val="000000"/>
                <w:kern w:val="0"/>
                <w:szCs w:val="21"/>
              </w:rPr>
              <w:t>35.8</w:t>
            </w:r>
          </w:p>
        </w:tc>
        <w:tc>
          <w:tcPr>
            <w:tcW w:w="636" w:type="dxa"/>
            <w:vAlign w:val="center"/>
          </w:tcPr>
          <w:p>
            <w:pPr>
              <w:widowControl/>
              <w:jc w:val="center"/>
              <w:rPr>
                <w:color w:val="000000"/>
                <w:kern w:val="0"/>
                <w:szCs w:val="21"/>
              </w:rPr>
            </w:pPr>
            <w:r>
              <w:rPr>
                <w:color w:val="000000"/>
                <w:kern w:val="0"/>
                <w:szCs w:val="21"/>
              </w:rPr>
              <w:t>49.1</w:t>
            </w:r>
          </w:p>
        </w:tc>
        <w:tc>
          <w:tcPr>
            <w:tcW w:w="846" w:type="dxa"/>
            <w:vAlign w:val="center"/>
          </w:tcPr>
          <w:p>
            <w:pPr>
              <w:widowControl/>
              <w:jc w:val="center"/>
              <w:rPr>
                <w:color w:val="000000"/>
                <w:kern w:val="0"/>
                <w:szCs w:val="21"/>
              </w:rPr>
            </w:pPr>
            <w:r>
              <w:rPr>
                <w:color w:val="000000"/>
                <w:kern w:val="0"/>
                <w:szCs w:val="21"/>
              </w:rPr>
              <w:t>11.1</w:t>
            </w:r>
          </w:p>
        </w:tc>
        <w:tc>
          <w:tcPr>
            <w:tcW w:w="846" w:type="dxa"/>
            <w:vAlign w:val="center"/>
          </w:tcPr>
          <w:p>
            <w:pPr>
              <w:widowControl/>
              <w:jc w:val="center"/>
              <w:rPr>
                <w:color w:val="000000"/>
                <w:kern w:val="0"/>
                <w:szCs w:val="21"/>
              </w:rPr>
            </w:pPr>
            <w:r>
              <w:rPr>
                <w:color w:val="000000"/>
                <w:kern w:val="0"/>
                <w:szCs w:val="21"/>
              </w:rPr>
              <w:t>3.5</w:t>
            </w:r>
          </w:p>
        </w:tc>
        <w:tc>
          <w:tcPr>
            <w:tcW w:w="1056" w:type="dxa"/>
            <w:vAlign w:val="center"/>
          </w:tcPr>
          <w:p>
            <w:pPr>
              <w:widowControl/>
              <w:jc w:val="center"/>
              <w:rPr>
                <w:color w:val="000000"/>
                <w:kern w:val="0"/>
                <w:szCs w:val="21"/>
              </w:rPr>
            </w:pPr>
            <w:r>
              <w:rPr>
                <w:color w:val="000000"/>
                <w:kern w:val="0"/>
                <w:szCs w:val="21"/>
              </w:rPr>
              <w:t>0.4</w:t>
            </w:r>
          </w:p>
        </w:tc>
        <w:tc>
          <w:tcPr>
            <w:tcW w:w="1056" w:type="dxa"/>
            <w:shd w:val="clear" w:color="auto" w:fill="auto"/>
            <w:vAlign w:val="center"/>
          </w:tcPr>
          <w:p>
            <w:pPr>
              <w:widowControl/>
              <w:jc w:val="center"/>
              <w:rPr>
                <w:color w:val="000000"/>
                <w:kern w:val="0"/>
                <w:szCs w:val="21"/>
              </w:rPr>
            </w:pPr>
          </w:p>
        </w:tc>
      </w:tr>
    </w:tbl>
    <w:p>
      <w:pPr>
        <w:rPr>
          <w:sz w:val="20"/>
          <w:szCs w:val="20"/>
        </w:rPr>
      </w:pPr>
      <w:r>
        <w:rPr>
          <w:rFonts w:hint="eastAsia"/>
          <w:sz w:val="20"/>
          <w:szCs w:val="20"/>
        </w:rPr>
        <w:t>注：得分5=很满意，4=满意，3=不好说，2=不满意，1=很不满意</w:t>
      </w:r>
    </w:p>
    <w:p/>
    <w:p>
      <w:pPr>
        <w:pStyle w:val="70"/>
      </w:pPr>
      <w:r>
        <w:rPr>
          <w:rFonts w:hint="eastAsia"/>
        </w:rPr>
        <w:t>（2）对本专业教师授课水平的评价</w:t>
      </w:r>
    </w:p>
    <w:p>
      <w:pPr>
        <w:pStyle w:val="75"/>
      </w:pPr>
      <w:bookmarkStart w:id="114" w:name="PO_33122"/>
      <w:bookmarkEnd w:id="114"/>
      <w:r>
        <w:rPr>
          <w:rFonts w:hint="eastAsia"/>
        </w:rPr>
        <w:t>①总体情况</w:t>
      </w:r>
    </w:p>
    <w:p>
      <w:pPr>
        <w:pStyle w:val="37"/>
        <w:ind w:firstLine="480"/>
      </w:pPr>
      <w:r>
        <w:rPr>
          <w:rFonts w:hint="eastAsia"/>
        </w:rPr>
        <w:t>对于专业教师授课水平的评价，92.5%的本科生表示“很满意”或“满意”，6.6%认为“不好说”，0.8%则表示“不满意”或“很不满意”。</w:t>
      </w:r>
    </w:p>
    <w:p>
      <w:pPr>
        <w:jc w:val="center"/>
      </w:pPr>
      <w:r>
        <w:rPr>
          <w:rFonts w:hint="eastAsia"/>
        </w:rPr>
        <w:drawing>
          <wp:inline distT="0" distB="0" distL="0" distR="0">
            <wp:extent cx="6076950" cy="2876550"/>
            <wp:effectExtent l="0" t="0" r="0" b="0"/>
            <wp:docPr id="38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59"/>
        <w:spacing w:before="156" w:after="312"/>
      </w:pPr>
      <w:r>
        <w:rPr>
          <w:rFonts w:hint="eastAsia"/>
        </w:rPr>
        <w:t>本科生对本专业教师授课水平的评价</w:t>
      </w:r>
    </w:p>
    <w:p>
      <w:pPr>
        <w:pStyle w:val="75"/>
      </w:pPr>
      <w:r>
        <w:rPr>
          <w:rFonts w:hint="eastAsia"/>
        </w:rPr>
        <w:t>②不同专业本科生对本专业教师授课水平的评价</w:t>
      </w:r>
    </w:p>
    <w:p>
      <w:pPr>
        <w:pStyle w:val="37"/>
        <w:ind w:firstLine="480"/>
      </w:pPr>
      <w:r>
        <w:rPr>
          <w:rFonts w:hint="eastAsia"/>
        </w:rPr>
        <w:t>就专业而言，方差检验显示，不同专业的本科生对本专业教师授课水平的评价存在差异（F=2.14，p&lt;0.05）。其中，对本专业教师授课水平满意程度排在前三名的专业依次为：播音与主持、影视编导、戏剧学。</w:t>
      </w:r>
    </w:p>
    <w:p>
      <w:pPr>
        <w:jc w:val="center"/>
      </w:pPr>
      <w:r>
        <w:rPr>
          <w:rFonts w:hint="eastAsia"/>
        </w:rPr>
        <w:drawing>
          <wp:inline distT="0" distB="0" distL="0" distR="0">
            <wp:extent cx="5791200" cy="8305800"/>
            <wp:effectExtent l="19050" t="0" r="19050" b="0"/>
            <wp:docPr id="3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59"/>
        <w:spacing w:before="156" w:after="312"/>
      </w:pPr>
      <w:r>
        <w:rPr>
          <w:rFonts w:hint="eastAsia"/>
        </w:rPr>
        <w:t>不同专业本科生对本专业教师授课水平的评价</w:t>
      </w:r>
    </w:p>
    <w:p>
      <w:pPr>
        <w:pStyle w:val="53"/>
        <w:spacing w:before="312" w:after="156"/>
      </w:pPr>
      <w:r>
        <w:rPr>
          <w:rFonts w:hint="eastAsia"/>
        </w:rPr>
        <w:t>本科生对本专业教师授课水平的评价</w:t>
      </w:r>
    </w:p>
    <w:tbl>
      <w:tblPr>
        <w:tblStyle w:val="33"/>
        <w:tblW w:w="983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6"/>
        <w:gridCol w:w="636"/>
        <w:gridCol w:w="846"/>
        <w:gridCol w:w="846"/>
        <w:gridCol w:w="636"/>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30"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4.56</w:t>
            </w:r>
          </w:p>
        </w:tc>
        <w:tc>
          <w:tcPr>
            <w:tcW w:w="846" w:type="dxa"/>
            <w:shd w:val="clear" w:color="auto" w:fill="auto"/>
            <w:vAlign w:val="center"/>
          </w:tcPr>
          <w:p>
            <w:pPr>
              <w:widowControl/>
              <w:jc w:val="center"/>
              <w:rPr>
                <w:color w:val="000000"/>
                <w:kern w:val="0"/>
                <w:szCs w:val="21"/>
              </w:rPr>
            </w:pPr>
            <w:r>
              <w:rPr>
                <w:color w:val="000000"/>
                <w:kern w:val="0"/>
                <w:szCs w:val="21"/>
              </w:rPr>
              <w:t>0.63</w:t>
            </w:r>
          </w:p>
        </w:tc>
        <w:tc>
          <w:tcPr>
            <w:tcW w:w="846" w:type="dxa"/>
            <w:vAlign w:val="center"/>
          </w:tcPr>
          <w:p>
            <w:pPr>
              <w:widowControl/>
              <w:jc w:val="center"/>
              <w:rPr>
                <w:color w:val="000000"/>
                <w:kern w:val="0"/>
                <w:szCs w:val="21"/>
              </w:rPr>
            </w:pPr>
            <w:r>
              <w:rPr>
                <w:color w:val="000000"/>
                <w:kern w:val="0"/>
                <w:szCs w:val="21"/>
              </w:rPr>
              <w:t>63.4</w:t>
            </w:r>
          </w:p>
        </w:tc>
        <w:tc>
          <w:tcPr>
            <w:tcW w:w="636" w:type="dxa"/>
            <w:vAlign w:val="center"/>
          </w:tcPr>
          <w:p>
            <w:pPr>
              <w:widowControl/>
              <w:jc w:val="center"/>
              <w:rPr>
                <w:color w:val="000000"/>
                <w:kern w:val="0"/>
                <w:szCs w:val="21"/>
              </w:rPr>
            </w:pPr>
            <w:r>
              <w:rPr>
                <w:color w:val="000000"/>
                <w:kern w:val="0"/>
                <w:szCs w:val="21"/>
              </w:rPr>
              <w:t>29.3</w:t>
            </w:r>
          </w:p>
        </w:tc>
        <w:tc>
          <w:tcPr>
            <w:tcW w:w="846" w:type="dxa"/>
            <w:vAlign w:val="center"/>
          </w:tcPr>
          <w:p>
            <w:pPr>
              <w:widowControl/>
              <w:jc w:val="center"/>
              <w:rPr>
                <w:color w:val="000000"/>
                <w:kern w:val="0"/>
                <w:szCs w:val="21"/>
              </w:rPr>
            </w:pPr>
            <w:r>
              <w:rPr>
                <w:color w:val="000000"/>
                <w:kern w:val="0"/>
                <w:szCs w:val="21"/>
              </w:rPr>
              <w:t>7.3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F=2.14*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4.74</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846" w:type="dxa"/>
            <w:vAlign w:val="center"/>
          </w:tcPr>
          <w:p>
            <w:pPr>
              <w:widowControl/>
              <w:jc w:val="center"/>
              <w:rPr>
                <w:color w:val="000000"/>
                <w:kern w:val="0"/>
                <w:szCs w:val="21"/>
              </w:rPr>
            </w:pPr>
            <w:r>
              <w:rPr>
                <w:color w:val="000000"/>
                <w:kern w:val="0"/>
                <w:szCs w:val="21"/>
              </w:rPr>
              <w:t>73.9</w:t>
            </w:r>
          </w:p>
        </w:tc>
        <w:tc>
          <w:tcPr>
            <w:tcW w:w="636" w:type="dxa"/>
            <w:vAlign w:val="center"/>
          </w:tcPr>
          <w:p>
            <w:pPr>
              <w:widowControl/>
              <w:jc w:val="center"/>
              <w:rPr>
                <w:color w:val="000000"/>
                <w:kern w:val="0"/>
                <w:szCs w:val="21"/>
              </w:rPr>
            </w:pPr>
            <w:r>
              <w:rPr>
                <w:color w:val="000000"/>
                <w:kern w:val="0"/>
                <w:szCs w:val="21"/>
              </w:rPr>
              <w:t>26.1</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4.46</w:t>
            </w:r>
          </w:p>
        </w:tc>
        <w:tc>
          <w:tcPr>
            <w:tcW w:w="846" w:type="dxa"/>
            <w:shd w:val="clear" w:color="auto" w:fill="auto"/>
            <w:vAlign w:val="center"/>
          </w:tcPr>
          <w:p>
            <w:pPr>
              <w:widowControl/>
              <w:jc w:val="center"/>
              <w:rPr>
                <w:color w:val="000000"/>
                <w:kern w:val="0"/>
                <w:szCs w:val="21"/>
              </w:rPr>
            </w:pPr>
            <w:r>
              <w:rPr>
                <w:color w:val="000000"/>
                <w:kern w:val="0"/>
                <w:szCs w:val="21"/>
              </w:rPr>
              <w:t>0.66</w:t>
            </w:r>
          </w:p>
        </w:tc>
        <w:tc>
          <w:tcPr>
            <w:tcW w:w="846" w:type="dxa"/>
            <w:vAlign w:val="center"/>
          </w:tcPr>
          <w:p>
            <w:pPr>
              <w:widowControl/>
              <w:jc w:val="center"/>
              <w:rPr>
                <w:color w:val="000000"/>
                <w:kern w:val="0"/>
                <w:szCs w:val="21"/>
              </w:rPr>
            </w:pPr>
            <w:r>
              <w:rPr>
                <w:color w:val="000000"/>
                <w:kern w:val="0"/>
                <w:szCs w:val="21"/>
              </w:rPr>
              <w:t>53.8</w:t>
            </w:r>
          </w:p>
        </w:tc>
        <w:tc>
          <w:tcPr>
            <w:tcW w:w="636"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7.7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33.3</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0.53</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37.5</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12.5</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4.20</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846"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80.0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4.17</w:t>
            </w:r>
          </w:p>
        </w:tc>
        <w:tc>
          <w:tcPr>
            <w:tcW w:w="846" w:type="dxa"/>
            <w:shd w:val="clear" w:color="auto" w:fill="auto"/>
            <w:vAlign w:val="center"/>
          </w:tcPr>
          <w:p>
            <w:pPr>
              <w:widowControl/>
              <w:jc w:val="center"/>
              <w:rPr>
                <w:color w:val="000000"/>
                <w:kern w:val="0"/>
                <w:szCs w:val="21"/>
              </w:rPr>
            </w:pPr>
            <w:r>
              <w:rPr>
                <w:color w:val="000000"/>
                <w:kern w:val="0"/>
                <w:szCs w:val="21"/>
              </w:rPr>
              <w:t>0.39</w:t>
            </w:r>
          </w:p>
        </w:tc>
        <w:tc>
          <w:tcPr>
            <w:tcW w:w="846" w:type="dxa"/>
            <w:vAlign w:val="center"/>
          </w:tcPr>
          <w:p>
            <w:pPr>
              <w:widowControl/>
              <w:jc w:val="center"/>
              <w:rPr>
                <w:color w:val="000000"/>
                <w:kern w:val="0"/>
                <w:szCs w:val="21"/>
              </w:rPr>
            </w:pPr>
            <w:r>
              <w:rPr>
                <w:color w:val="000000"/>
                <w:kern w:val="0"/>
                <w:szCs w:val="21"/>
              </w:rPr>
              <w:t>16.7</w:t>
            </w:r>
          </w:p>
        </w:tc>
        <w:tc>
          <w:tcPr>
            <w:tcW w:w="636" w:type="dxa"/>
            <w:vAlign w:val="center"/>
          </w:tcPr>
          <w:p>
            <w:pPr>
              <w:widowControl/>
              <w:jc w:val="center"/>
              <w:rPr>
                <w:color w:val="000000"/>
                <w:kern w:val="0"/>
                <w:szCs w:val="21"/>
              </w:rPr>
            </w:pPr>
            <w:r>
              <w:rPr>
                <w:color w:val="000000"/>
                <w:kern w:val="0"/>
                <w:szCs w:val="21"/>
              </w:rPr>
              <w:t>83.3</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4.33</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44.4</w:t>
            </w:r>
          </w:p>
        </w:tc>
        <w:tc>
          <w:tcPr>
            <w:tcW w:w="636" w:type="dxa"/>
            <w:vAlign w:val="center"/>
          </w:tcPr>
          <w:p>
            <w:pPr>
              <w:widowControl/>
              <w:jc w:val="center"/>
              <w:rPr>
                <w:color w:val="000000"/>
                <w:kern w:val="0"/>
                <w:szCs w:val="21"/>
              </w:rPr>
            </w:pPr>
            <w:r>
              <w:rPr>
                <w:color w:val="000000"/>
                <w:kern w:val="0"/>
                <w:szCs w:val="21"/>
              </w:rPr>
              <w:t>44.4</w:t>
            </w:r>
          </w:p>
        </w:tc>
        <w:tc>
          <w:tcPr>
            <w:tcW w:w="846" w:type="dxa"/>
            <w:vAlign w:val="center"/>
          </w:tcPr>
          <w:p>
            <w:pPr>
              <w:widowControl/>
              <w:jc w:val="center"/>
              <w:rPr>
                <w:color w:val="000000"/>
                <w:kern w:val="0"/>
                <w:szCs w:val="21"/>
              </w:rPr>
            </w:pPr>
            <w:r>
              <w:rPr>
                <w:color w:val="000000"/>
                <w:kern w:val="0"/>
                <w:szCs w:val="21"/>
              </w:rPr>
              <w:t>11.1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1.10</w:t>
            </w:r>
          </w:p>
        </w:tc>
        <w:tc>
          <w:tcPr>
            <w:tcW w:w="846" w:type="dxa"/>
            <w:vAlign w:val="center"/>
          </w:tcPr>
          <w:p>
            <w:pPr>
              <w:widowControl/>
              <w:jc w:val="center"/>
              <w:rPr>
                <w:color w:val="000000"/>
                <w:kern w:val="0"/>
                <w:szCs w:val="21"/>
              </w:rPr>
            </w:pPr>
            <w:r>
              <w:rPr>
                <w:color w:val="000000"/>
                <w:kern w:val="0"/>
                <w:szCs w:val="21"/>
              </w:rPr>
              <w:t>27.3</w:t>
            </w:r>
          </w:p>
        </w:tc>
        <w:tc>
          <w:tcPr>
            <w:tcW w:w="636" w:type="dxa"/>
            <w:vAlign w:val="center"/>
          </w:tcPr>
          <w:p>
            <w:pPr>
              <w:widowControl/>
              <w:jc w:val="center"/>
              <w:rPr>
                <w:color w:val="000000"/>
                <w:kern w:val="0"/>
                <w:szCs w:val="21"/>
              </w:rPr>
            </w:pPr>
            <w:r>
              <w:rPr>
                <w:color w:val="000000"/>
                <w:kern w:val="0"/>
                <w:szCs w:val="21"/>
              </w:rPr>
              <w:t>63.6</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9.1</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4.60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68.0</w:t>
            </w:r>
          </w:p>
        </w:tc>
        <w:tc>
          <w:tcPr>
            <w:tcW w:w="636" w:type="dxa"/>
            <w:vAlign w:val="center"/>
          </w:tcPr>
          <w:p>
            <w:pPr>
              <w:widowControl/>
              <w:jc w:val="center"/>
              <w:rPr>
                <w:color w:val="000000"/>
                <w:kern w:val="0"/>
                <w:szCs w:val="21"/>
              </w:rPr>
            </w:pPr>
            <w:r>
              <w:rPr>
                <w:color w:val="000000"/>
                <w:kern w:val="0"/>
                <w:szCs w:val="21"/>
              </w:rPr>
              <w:t>28.0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4.0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4.12</w:t>
            </w:r>
          </w:p>
        </w:tc>
        <w:tc>
          <w:tcPr>
            <w:tcW w:w="846" w:type="dxa"/>
            <w:shd w:val="clear" w:color="auto" w:fill="auto"/>
            <w:vAlign w:val="center"/>
          </w:tcPr>
          <w:p>
            <w:pPr>
              <w:widowControl/>
              <w:jc w:val="center"/>
              <w:rPr>
                <w:color w:val="000000"/>
                <w:kern w:val="0"/>
                <w:szCs w:val="21"/>
              </w:rPr>
            </w:pPr>
            <w:r>
              <w:rPr>
                <w:color w:val="000000"/>
                <w:kern w:val="0"/>
                <w:szCs w:val="21"/>
              </w:rPr>
              <w:t>0.73</w:t>
            </w:r>
          </w:p>
        </w:tc>
        <w:tc>
          <w:tcPr>
            <w:tcW w:w="846" w:type="dxa"/>
            <w:vAlign w:val="center"/>
          </w:tcPr>
          <w:p>
            <w:pPr>
              <w:widowControl/>
              <w:jc w:val="center"/>
              <w:rPr>
                <w:color w:val="000000"/>
                <w:kern w:val="0"/>
                <w:szCs w:val="21"/>
              </w:rPr>
            </w:pPr>
            <w:r>
              <w:rPr>
                <w:color w:val="000000"/>
                <w:kern w:val="0"/>
                <w:szCs w:val="21"/>
              </w:rPr>
              <w:t>32.0</w:t>
            </w:r>
          </w:p>
        </w:tc>
        <w:tc>
          <w:tcPr>
            <w:tcW w:w="636" w:type="dxa"/>
            <w:vAlign w:val="center"/>
          </w:tcPr>
          <w:p>
            <w:pPr>
              <w:widowControl/>
              <w:jc w:val="center"/>
              <w:rPr>
                <w:color w:val="000000"/>
                <w:kern w:val="0"/>
                <w:szCs w:val="21"/>
              </w:rPr>
            </w:pPr>
            <w:r>
              <w:rPr>
                <w:color w:val="000000"/>
                <w:kern w:val="0"/>
                <w:szCs w:val="21"/>
              </w:rPr>
              <w:t>48.0</w:t>
            </w:r>
          </w:p>
        </w:tc>
        <w:tc>
          <w:tcPr>
            <w:tcW w:w="846"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4.62</w:t>
            </w:r>
          </w:p>
        </w:tc>
        <w:tc>
          <w:tcPr>
            <w:tcW w:w="846" w:type="dxa"/>
            <w:shd w:val="clear" w:color="auto" w:fill="auto"/>
            <w:vAlign w:val="center"/>
          </w:tcPr>
          <w:p>
            <w:pPr>
              <w:widowControl/>
              <w:jc w:val="center"/>
              <w:rPr>
                <w:color w:val="000000"/>
                <w:kern w:val="0"/>
                <w:szCs w:val="21"/>
              </w:rPr>
            </w:pPr>
            <w:r>
              <w:rPr>
                <w:color w:val="000000"/>
                <w:kern w:val="0"/>
                <w:szCs w:val="21"/>
              </w:rPr>
              <w:t>0.51</w:t>
            </w:r>
          </w:p>
        </w:tc>
        <w:tc>
          <w:tcPr>
            <w:tcW w:w="846" w:type="dxa"/>
            <w:vAlign w:val="center"/>
          </w:tcPr>
          <w:p>
            <w:pPr>
              <w:widowControl/>
              <w:jc w:val="center"/>
              <w:rPr>
                <w:color w:val="000000"/>
                <w:kern w:val="0"/>
                <w:szCs w:val="21"/>
              </w:rPr>
            </w:pPr>
            <w:r>
              <w:rPr>
                <w:color w:val="000000"/>
                <w:kern w:val="0"/>
                <w:szCs w:val="21"/>
              </w:rPr>
              <w:t>61.5</w:t>
            </w:r>
          </w:p>
        </w:tc>
        <w:tc>
          <w:tcPr>
            <w:tcW w:w="636"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4.26</w:t>
            </w:r>
          </w:p>
        </w:tc>
        <w:tc>
          <w:tcPr>
            <w:tcW w:w="846" w:type="dxa"/>
            <w:shd w:val="clear" w:color="auto" w:fill="auto"/>
            <w:vAlign w:val="center"/>
          </w:tcPr>
          <w:p>
            <w:pPr>
              <w:widowControl/>
              <w:jc w:val="center"/>
              <w:rPr>
                <w:color w:val="000000"/>
                <w:kern w:val="0"/>
                <w:szCs w:val="21"/>
              </w:rPr>
            </w:pPr>
            <w:r>
              <w:rPr>
                <w:color w:val="000000"/>
                <w:kern w:val="0"/>
                <w:szCs w:val="21"/>
              </w:rPr>
              <w:t>0.66</w:t>
            </w:r>
          </w:p>
        </w:tc>
        <w:tc>
          <w:tcPr>
            <w:tcW w:w="846" w:type="dxa"/>
            <w:vAlign w:val="center"/>
          </w:tcPr>
          <w:p>
            <w:pPr>
              <w:widowControl/>
              <w:jc w:val="center"/>
              <w:rPr>
                <w:color w:val="000000"/>
                <w:kern w:val="0"/>
                <w:szCs w:val="21"/>
              </w:rPr>
            </w:pPr>
            <w:r>
              <w:rPr>
                <w:color w:val="000000"/>
                <w:kern w:val="0"/>
                <w:szCs w:val="21"/>
              </w:rPr>
              <w:t>37.0</w:t>
            </w:r>
          </w:p>
        </w:tc>
        <w:tc>
          <w:tcPr>
            <w:tcW w:w="636" w:type="dxa"/>
            <w:vAlign w:val="center"/>
          </w:tcPr>
          <w:p>
            <w:pPr>
              <w:widowControl/>
              <w:jc w:val="center"/>
              <w:rPr>
                <w:color w:val="000000"/>
                <w:kern w:val="0"/>
                <w:szCs w:val="21"/>
              </w:rPr>
            </w:pPr>
            <w:r>
              <w:rPr>
                <w:color w:val="000000"/>
                <w:kern w:val="0"/>
                <w:szCs w:val="21"/>
              </w:rPr>
              <w:t>51.9</w:t>
            </w:r>
          </w:p>
        </w:tc>
        <w:tc>
          <w:tcPr>
            <w:tcW w:w="846" w:type="dxa"/>
            <w:vAlign w:val="center"/>
          </w:tcPr>
          <w:p>
            <w:pPr>
              <w:widowControl/>
              <w:jc w:val="center"/>
              <w:rPr>
                <w:color w:val="000000"/>
                <w:kern w:val="0"/>
                <w:szCs w:val="21"/>
              </w:rPr>
            </w:pPr>
            <w:r>
              <w:rPr>
                <w:color w:val="000000"/>
                <w:kern w:val="0"/>
                <w:szCs w:val="21"/>
              </w:rPr>
              <w:t>11.1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3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4.41</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846" w:type="dxa"/>
            <w:vAlign w:val="center"/>
          </w:tcPr>
          <w:p>
            <w:pPr>
              <w:widowControl/>
              <w:jc w:val="center"/>
              <w:rPr>
                <w:color w:val="000000"/>
                <w:kern w:val="0"/>
                <w:szCs w:val="21"/>
              </w:rPr>
            </w:pPr>
            <w:r>
              <w:rPr>
                <w:color w:val="000000"/>
                <w:kern w:val="0"/>
                <w:szCs w:val="21"/>
              </w:rPr>
              <w:t>49.6</w:t>
            </w:r>
          </w:p>
        </w:tc>
        <w:tc>
          <w:tcPr>
            <w:tcW w:w="636"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6.6</w:t>
            </w:r>
          </w:p>
        </w:tc>
        <w:tc>
          <w:tcPr>
            <w:tcW w:w="846" w:type="dxa"/>
            <w:vAlign w:val="center"/>
          </w:tcPr>
          <w:p>
            <w:pPr>
              <w:widowControl/>
              <w:jc w:val="center"/>
              <w:rPr>
                <w:color w:val="000000"/>
                <w:kern w:val="0"/>
                <w:szCs w:val="21"/>
              </w:rPr>
            </w:pPr>
            <w:r>
              <w:rPr>
                <w:color w:val="000000"/>
                <w:kern w:val="0"/>
                <w:szCs w:val="21"/>
              </w:rPr>
              <w:t>0.4</w:t>
            </w:r>
          </w:p>
        </w:tc>
        <w:tc>
          <w:tcPr>
            <w:tcW w:w="1056" w:type="dxa"/>
            <w:vAlign w:val="center"/>
          </w:tcPr>
          <w:p>
            <w:pPr>
              <w:widowControl/>
              <w:jc w:val="center"/>
              <w:rPr>
                <w:color w:val="000000"/>
                <w:kern w:val="0"/>
                <w:szCs w:val="21"/>
              </w:rPr>
            </w:pPr>
            <w:r>
              <w:rPr>
                <w:color w:val="000000"/>
                <w:kern w:val="0"/>
                <w:szCs w:val="21"/>
              </w:rPr>
              <w:t>0.4</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
      <w:pPr>
        <w:pStyle w:val="70"/>
      </w:pPr>
      <w:r>
        <w:rPr>
          <w:rFonts w:hint="eastAsia"/>
        </w:rPr>
        <w:t>（3）所学专业知识满足工作需要的情况</w:t>
      </w:r>
    </w:p>
    <w:p>
      <w:pPr>
        <w:pStyle w:val="75"/>
      </w:pPr>
      <w:bookmarkStart w:id="115" w:name="PO_331231"/>
      <w:bookmarkEnd w:id="115"/>
      <w:r>
        <w:rPr>
          <w:rFonts w:hint="eastAsia"/>
        </w:rPr>
        <w:t>①总体情况</w:t>
      </w:r>
    </w:p>
    <w:p>
      <w:pPr>
        <w:pStyle w:val="37"/>
        <w:ind w:firstLine="480"/>
      </w:pPr>
      <w:r>
        <w:rPr>
          <w:rFonts w:hint="eastAsia"/>
        </w:rPr>
        <w:t>对于所学专业知识满足工作需要的程度，73.9%的本科生表示“很多”或“多”，22.6%认为“不好说”，3.5%则表示“少”。</w:t>
      </w:r>
    </w:p>
    <w:p>
      <w:pPr>
        <w:jc w:val="center"/>
      </w:pPr>
      <w:r>
        <w:rPr>
          <w:rFonts w:hint="eastAsia"/>
        </w:rPr>
        <w:drawing>
          <wp:inline distT="0" distB="0" distL="0" distR="0">
            <wp:extent cx="6076950" cy="2905125"/>
            <wp:effectExtent l="0" t="0" r="0" b="0"/>
            <wp:docPr id="3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59"/>
        <w:spacing w:before="156" w:after="312"/>
      </w:pPr>
      <w:r>
        <w:rPr>
          <w:rFonts w:hint="eastAsia"/>
        </w:rPr>
        <w:t>本科生所学专业知识满足工作需要的程度</w:t>
      </w:r>
    </w:p>
    <w:p>
      <w:pPr>
        <w:pStyle w:val="75"/>
      </w:pPr>
      <w:r>
        <w:rPr>
          <w:rFonts w:hint="eastAsia"/>
        </w:rPr>
        <w:t>②不同专业本科生对所学专业知识满足工作需要程度的评价</w:t>
      </w:r>
    </w:p>
    <w:p>
      <w:pPr>
        <w:pStyle w:val="37"/>
        <w:ind w:firstLine="480"/>
      </w:pPr>
      <w:r>
        <w:rPr>
          <w:rFonts w:hint="eastAsia"/>
        </w:rPr>
        <w:t>就专业而言，方差检验显示，不同专业的本科生对所学专业知识满足工作需要的程度存在非常显著性差异（F=3.18，p&lt;0.001）。对所学专业知识满足工作需要的程度排在前三名的专业依次为：影视编导、表演、播音与主持。</w:t>
      </w:r>
    </w:p>
    <w:p>
      <w:pPr>
        <w:jc w:val="center"/>
      </w:pPr>
      <w:r>
        <w:rPr>
          <w:rFonts w:hint="eastAsia"/>
        </w:rPr>
        <w:drawing>
          <wp:inline distT="0" distB="0" distL="0" distR="0">
            <wp:extent cx="5791200" cy="8305800"/>
            <wp:effectExtent l="19050" t="0" r="19050" b="0"/>
            <wp:docPr id="38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59"/>
        <w:spacing w:before="156" w:after="312"/>
      </w:pPr>
      <w:r>
        <w:rPr>
          <w:rFonts w:hint="eastAsia"/>
        </w:rPr>
        <w:t>不同专业本科生所学专业知识满足工作需要的程度</w:t>
      </w:r>
    </w:p>
    <w:p>
      <w:pPr>
        <w:pStyle w:val="53"/>
        <w:spacing w:before="312" w:after="156"/>
      </w:pPr>
      <w:r>
        <w:rPr>
          <w:rFonts w:hint="eastAsia"/>
        </w:rPr>
        <w:t>本科生所学专业知识满足工作需要的程度</w:t>
      </w:r>
    </w:p>
    <w:tbl>
      <w:tblPr>
        <w:tblStyle w:val="33"/>
        <w:tblW w:w="842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6"/>
        <w:gridCol w:w="636"/>
        <w:gridCol w:w="846"/>
        <w:gridCol w:w="636"/>
        <w:gridCol w:w="695"/>
        <w:gridCol w:w="846"/>
        <w:gridCol w:w="589"/>
        <w:gridCol w:w="1104"/>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766"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04"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很多</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少</w:t>
            </w:r>
          </w:p>
        </w:tc>
        <w:tc>
          <w:tcPr>
            <w:tcW w:w="11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4.49</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636" w:type="dxa"/>
            <w:vAlign w:val="center"/>
          </w:tcPr>
          <w:p>
            <w:pPr>
              <w:widowControl/>
              <w:jc w:val="center"/>
              <w:rPr>
                <w:color w:val="000000"/>
                <w:kern w:val="0"/>
                <w:szCs w:val="21"/>
              </w:rPr>
            </w:pPr>
            <w:r>
              <w:rPr>
                <w:color w:val="000000"/>
                <w:kern w:val="0"/>
                <w:szCs w:val="21"/>
              </w:rPr>
              <w:t>58.5</w:t>
            </w:r>
          </w:p>
        </w:tc>
        <w:tc>
          <w:tcPr>
            <w:tcW w:w="695" w:type="dxa"/>
            <w:vAlign w:val="center"/>
          </w:tcPr>
          <w:p>
            <w:pPr>
              <w:widowControl/>
              <w:jc w:val="center"/>
              <w:rPr>
                <w:color w:val="000000"/>
                <w:kern w:val="0"/>
                <w:szCs w:val="21"/>
              </w:rPr>
            </w:pPr>
            <w:r>
              <w:rPr>
                <w:color w:val="000000"/>
                <w:kern w:val="0"/>
                <w:szCs w:val="21"/>
              </w:rPr>
              <w:t>31.7</w:t>
            </w:r>
          </w:p>
        </w:tc>
        <w:tc>
          <w:tcPr>
            <w:tcW w:w="846" w:type="dxa"/>
            <w:vAlign w:val="center"/>
          </w:tcPr>
          <w:p>
            <w:pPr>
              <w:widowControl/>
              <w:jc w:val="center"/>
              <w:rPr>
                <w:color w:val="000000"/>
                <w:kern w:val="0"/>
                <w:szCs w:val="21"/>
              </w:rPr>
            </w:pPr>
            <w:r>
              <w:rPr>
                <w:color w:val="000000"/>
                <w:kern w:val="0"/>
                <w:szCs w:val="21"/>
              </w:rPr>
              <w:t>9.8</w:t>
            </w:r>
          </w:p>
        </w:tc>
        <w:tc>
          <w:tcPr>
            <w:tcW w:w="589" w:type="dxa"/>
            <w:vAlign w:val="center"/>
          </w:tcPr>
          <w:p>
            <w:pPr>
              <w:widowControl/>
              <w:jc w:val="center"/>
              <w:rPr>
                <w:color w:val="000000"/>
                <w:kern w:val="0"/>
                <w:szCs w:val="21"/>
              </w:rPr>
            </w:pPr>
            <w:r>
              <w:rPr>
                <w:color w:val="000000"/>
                <w:kern w:val="0"/>
                <w:szCs w:val="21"/>
              </w:rPr>
              <w:t>0.0</w:t>
            </w:r>
          </w:p>
        </w:tc>
        <w:tc>
          <w:tcPr>
            <w:tcW w:w="1104" w:type="dxa"/>
            <w:vMerge w:val="restart"/>
            <w:shd w:val="clear" w:color="auto" w:fill="auto"/>
            <w:vAlign w:val="center"/>
          </w:tcPr>
          <w:p>
            <w:pPr>
              <w:jc w:val="center"/>
              <w:rPr>
                <w:color w:val="000000"/>
                <w:kern w:val="0"/>
                <w:szCs w:val="21"/>
              </w:rPr>
            </w:pPr>
            <w:r>
              <w:rPr>
                <w:color w:val="000000"/>
                <w:kern w:val="0"/>
                <w:szCs w:val="21"/>
              </w:rPr>
              <w:t>F=3.18***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4.13</w:t>
            </w:r>
          </w:p>
        </w:tc>
        <w:tc>
          <w:tcPr>
            <w:tcW w:w="846" w:type="dxa"/>
            <w:shd w:val="clear" w:color="auto" w:fill="auto"/>
            <w:vAlign w:val="center"/>
          </w:tcPr>
          <w:p>
            <w:pPr>
              <w:widowControl/>
              <w:jc w:val="center"/>
              <w:rPr>
                <w:color w:val="000000"/>
                <w:kern w:val="0"/>
                <w:szCs w:val="21"/>
              </w:rPr>
            </w:pPr>
            <w:r>
              <w:rPr>
                <w:color w:val="000000"/>
                <w:kern w:val="0"/>
                <w:szCs w:val="21"/>
              </w:rPr>
              <w:t>0.69</w:t>
            </w:r>
          </w:p>
        </w:tc>
        <w:tc>
          <w:tcPr>
            <w:tcW w:w="636" w:type="dxa"/>
            <w:vAlign w:val="center"/>
          </w:tcPr>
          <w:p>
            <w:pPr>
              <w:widowControl/>
              <w:jc w:val="center"/>
              <w:rPr>
                <w:color w:val="000000"/>
                <w:kern w:val="0"/>
                <w:szCs w:val="21"/>
              </w:rPr>
            </w:pPr>
            <w:r>
              <w:rPr>
                <w:color w:val="000000"/>
                <w:kern w:val="0"/>
                <w:szCs w:val="21"/>
              </w:rPr>
              <w:t>30.4</w:t>
            </w:r>
          </w:p>
        </w:tc>
        <w:tc>
          <w:tcPr>
            <w:tcW w:w="695" w:type="dxa"/>
            <w:vAlign w:val="center"/>
          </w:tcPr>
          <w:p>
            <w:pPr>
              <w:widowControl/>
              <w:jc w:val="center"/>
              <w:rPr>
                <w:color w:val="000000"/>
                <w:kern w:val="0"/>
                <w:szCs w:val="21"/>
              </w:rPr>
            </w:pPr>
            <w:r>
              <w:rPr>
                <w:color w:val="000000"/>
                <w:kern w:val="0"/>
                <w:szCs w:val="21"/>
              </w:rPr>
              <w:t>52.2</w:t>
            </w:r>
          </w:p>
        </w:tc>
        <w:tc>
          <w:tcPr>
            <w:tcW w:w="846" w:type="dxa"/>
            <w:vAlign w:val="center"/>
          </w:tcPr>
          <w:p>
            <w:pPr>
              <w:widowControl/>
              <w:jc w:val="center"/>
              <w:rPr>
                <w:color w:val="000000"/>
                <w:kern w:val="0"/>
                <w:szCs w:val="21"/>
              </w:rPr>
            </w:pPr>
            <w:r>
              <w:rPr>
                <w:color w:val="000000"/>
                <w:kern w:val="0"/>
                <w:szCs w:val="21"/>
              </w:rPr>
              <w:t>17.4</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3.85</w:t>
            </w:r>
          </w:p>
        </w:tc>
        <w:tc>
          <w:tcPr>
            <w:tcW w:w="846" w:type="dxa"/>
            <w:shd w:val="clear" w:color="auto" w:fill="auto"/>
            <w:vAlign w:val="center"/>
          </w:tcPr>
          <w:p>
            <w:pPr>
              <w:widowControl/>
              <w:jc w:val="center"/>
              <w:rPr>
                <w:color w:val="000000"/>
                <w:kern w:val="0"/>
                <w:szCs w:val="21"/>
              </w:rPr>
            </w:pPr>
            <w:r>
              <w:rPr>
                <w:color w:val="000000"/>
                <w:kern w:val="0"/>
                <w:szCs w:val="21"/>
              </w:rPr>
              <w:t>0.90</w:t>
            </w:r>
          </w:p>
        </w:tc>
        <w:tc>
          <w:tcPr>
            <w:tcW w:w="636" w:type="dxa"/>
            <w:vAlign w:val="center"/>
          </w:tcPr>
          <w:p>
            <w:pPr>
              <w:widowControl/>
              <w:jc w:val="center"/>
              <w:rPr>
                <w:color w:val="000000"/>
                <w:kern w:val="0"/>
                <w:szCs w:val="21"/>
              </w:rPr>
            </w:pPr>
            <w:r>
              <w:rPr>
                <w:color w:val="000000"/>
                <w:kern w:val="0"/>
                <w:szCs w:val="21"/>
              </w:rPr>
              <w:t>30.8</w:t>
            </w:r>
          </w:p>
        </w:tc>
        <w:tc>
          <w:tcPr>
            <w:tcW w:w="695"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46.2</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1.00</w:t>
            </w:r>
          </w:p>
        </w:tc>
        <w:tc>
          <w:tcPr>
            <w:tcW w:w="63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3.90</w:t>
            </w:r>
          </w:p>
        </w:tc>
        <w:tc>
          <w:tcPr>
            <w:tcW w:w="846" w:type="dxa"/>
            <w:shd w:val="clear" w:color="auto" w:fill="auto"/>
            <w:vAlign w:val="center"/>
          </w:tcPr>
          <w:p>
            <w:pPr>
              <w:widowControl/>
              <w:jc w:val="center"/>
              <w:rPr>
                <w:color w:val="000000"/>
                <w:kern w:val="0"/>
                <w:szCs w:val="21"/>
              </w:rPr>
            </w:pPr>
            <w:r>
              <w:rPr>
                <w:color w:val="000000"/>
                <w:kern w:val="0"/>
                <w:szCs w:val="21"/>
              </w:rPr>
              <w:t>0.88</w:t>
            </w:r>
          </w:p>
        </w:tc>
        <w:tc>
          <w:tcPr>
            <w:tcW w:w="63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10.0</w:t>
            </w:r>
          </w:p>
        </w:tc>
        <w:tc>
          <w:tcPr>
            <w:tcW w:w="589" w:type="dxa"/>
            <w:vAlign w:val="center"/>
          </w:tcPr>
          <w:p>
            <w:pPr>
              <w:widowControl/>
              <w:jc w:val="center"/>
              <w:rPr>
                <w:color w:val="000000"/>
                <w:kern w:val="0"/>
                <w:szCs w:val="21"/>
              </w:rPr>
            </w:pPr>
            <w:r>
              <w:rPr>
                <w:color w:val="000000"/>
                <w:kern w:val="0"/>
                <w:szCs w:val="21"/>
              </w:rPr>
              <w:t>10.0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3.63</w:t>
            </w:r>
          </w:p>
        </w:tc>
        <w:tc>
          <w:tcPr>
            <w:tcW w:w="846" w:type="dxa"/>
            <w:shd w:val="clear" w:color="auto" w:fill="auto"/>
            <w:vAlign w:val="center"/>
          </w:tcPr>
          <w:p>
            <w:pPr>
              <w:widowControl/>
              <w:jc w:val="center"/>
              <w:rPr>
                <w:color w:val="000000"/>
                <w:kern w:val="0"/>
                <w:szCs w:val="21"/>
              </w:rPr>
            </w:pPr>
            <w:r>
              <w:rPr>
                <w:color w:val="000000"/>
                <w:kern w:val="0"/>
                <w:szCs w:val="21"/>
              </w:rPr>
              <w:t>1.06</w:t>
            </w:r>
          </w:p>
        </w:tc>
        <w:tc>
          <w:tcPr>
            <w:tcW w:w="63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37.5</w:t>
            </w:r>
          </w:p>
        </w:tc>
        <w:tc>
          <w:tcPr>
            <w:tcW w:w="589" w:type="dxa"/>
            <w:vAlign w:val="center"/>
          </w:tcPr>
          <w:p>
            <w:pPr>
              <w:widowControl/>
              <w:jc w:val="center"/>
              <w:rPr>
                <w:color w:val="000000"/>
                <w:kern w:val="0"/>
                <w:szCs w:val="21"/>
              </w:rPr>
            </w:pPr>
            <w:r>
              <w:rPr>
                <w:color w:val="000000"/>
                <w:kern w:val="0"/>
                <w:szCs w:val="21"/>
              </w:rPr>
              <w:t>12.5</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63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0.89</w:t>
            </w:r>
          </w:p>
        </w:tc>
        <w:tc>
          <w:tcPr>
            <w:tcW w:w="636" w:type="dxa"/>
            <w:vAlign w:val="center"/>
          </w:tcPr>
          <w:p>
            <w:pPr>
              <w:widowControl/>
              <w:jc w:val="center"/>
              <w:rPr>
                <w:color w:val="000000"/>
                <w:kern w:val="0"/>
                <w:szCs w:val="21"/>
              </w:rPr>
            </w:pPr>
            <w:r>
              <w:rPr>
                <w:color w:val="000000"/>
                <w:kern w:val="0"/>
                <w:szCs w:val="21"/>
              </w:rPr>
              <w:t>8.3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41.7</w:t>
            </w:r>
          </w:p>
        </w:tc>
        <w:tc>
          <w:tcPr>
            <w:tcW w:w="589" w:type="dxa"/>
            <w:vAlign w:val="center"/>
          </w:tcPr>
          <w:p>
            <w:pPr>
              <w:widowControl/>
              <w:jc w:val="center"/>
              <w:rPr>
                <w:color w:val="000000"/>
                <w:kern w:val="0"/>
                <w:szCs w:val="21"/>
              </w:rPr>
            </w:pPr>
            <w:r>
              <w:rPr>
                <w:color w:val="000000"/>
                <w:kern w:val="0"/>
                <w:szCs w:val="21"/>
              </w:rPr>
              <w:t>16.7</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4.11</w:t>
            </w:r>
          </w:p>
        </w:tc>
        <w:tc>
          <w:tcPr>
            <w:tcW w:w="846" w:type="dxa"/>
            <w:shd w:val="clear" w:color="auto" w:fill="auto"/>
            <w:vAlign w:val="center"/>
          </w:tcPr>
          <w:p>
            <w:pPr>
              <w:widowControl/>
              <w:jc w:val="center"/>
              <w:rPr>
                <w:color w:val="000000"/>
                <w:kern w:val="0"/>
                <w:szCs w:val="21"/>
              </w:rPr>
            </w:pPr>
            <w:r>
              <w:rPr>
                <w:color w:val="000000"/>
                <w:kern w:val="0"/>
                <w:szCs w:val="21"/>
              </w:rPr>
              <w:t>0.60</w:t>
            </w:r>
          </w:p>
        </w:tc>
        <w:tc>
          <w:tcPr>
            <w:tcW w:w="636" w:type="dxa"/>
            <w:vAlign w:val="center"/>
          </w:tcPr>
          <w:p>
            <w:pPr>
              <w:widowControl/>
              <w:jc w:val="center"/>
              <w:rPr>
                <w:color w:val="000000"/>
                <w:kern w:val="0"/>
                <w:szCs w:val="21"/>
              </w:rPr>
            </w:pPr>
            <w:r>
              <w:rPr>
                <w:color w:val="000000"/>
                <w:kern w:val="0"/>
                <w:szCs w:val="21"/>
              </w:rPr>
              <w:t>22.2</w:t>
            </w:r>
          </w:p>
        </w:tc>
        <w:tc>
          <w:tcPr>
            <w:tcW w:w="695"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11.1</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3.55</w:t>
            </w:r>
          </w:p>
        </w:tc>
        <w:tc>
          <w:tcPr>
            <w:tcW w:w="846" w:type="dxa"/>
            <w:shd w:val="clear" w:color="auto" w:fill="auto"/>
            <w:vAlign w:val="center"/>
          </w:tcPr>
          <w:p>
            <w:pPr>
              <w:widowControl/>
              <w:jc w:val="center"/>
              <w:rPr>
                <w:color w:val="000000"/>
                <w:kern w:val="0"/>
                <w:szCs w:val="21"/>
              </w:rPr>
            </w:pPr>
            <w:r>
              <w:rPr>
                <w:color w:val="000000"/>
                <w:kern w:val="0"/>
                <w:szCs w:val="21"/>
              </w:rPr>
              <w:t>0.69</w:t>
            </w:r>
          </w:p>
        </w:tc>
        <w:tc>
          <w:tcPr>
            <w:tcW w:w="63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63.6</w:t>
            </w:r>
          </w:p>
        </w:tc>
        <w:tc>
          <w:tcPr>
            <w:tcW w:w="846" w:type="dxa"/>
            <w:vAlign w:val="center"/>
          </w:tcPr>
          <w:p>
            <w:pPr>
              <w:widowControl/>
              <w:jc w:val="center"/>
              <w:rPr>
                <w:color w:val="000000"/>
                <w:kern w:val="0"/>
                <w:szCs w:val="21"/>
              </w:rPr>
            </w:pPr>
            <w:r>
              <w:rPr>
                <w:color w:val="000000"/>
                <w:kern w:val="0"/>
                <w:szCs w:val="21"/>
              </w:rPr>
              <w:t>27.3</w:t>
            </w:r>
          </w:p>
        </w:tc>
        <w:tc>
          <w:tcPr>
            <w:tcW w:w="589" w:type="dxa"/>
            <w:vAlign w:val="center"/>
          </w:tcPr>
          <w:p>
            <w:pPr>
              <w:widowControl/>
              <w:jc w:val="center"/>
              <w:rPr>
                <w:color w:val="000000"/>
                <w:kern w:val="0"/>
                <w:szCs w:val="21"/>
              </w:rPr>
            </w:pPr>
            <w:r>
              <w:rPr>
                <w:color w:val="000000"/>
                <w:kern w:val="0"/>
                <w:szCs w:val="21"/>
              </w:rPr>
              <w:t>9.1</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0.76</w:t>
            </w:r>
          </w:p>
        </w:tc>
        <w:tc>
          <w:tcPr>
            <w:tcW w:w="636" w:type="dxa"/>
            <w:vAlign w:val="center"/>
          </w:tcPr>
          <w:p>
            <w:pPr>
              <w:widowControl/>
              <w:jc w:val="center"/>
              <w:rPr>
                <w:color w:val="000000"/>
                <w:kern w:val="0"/>
                <w:szCs w:val="21"/>
              </w:rPr>
            </w:pPr>
            <w:r>
              <w:rPr>
                <w:color w:val="000000"/>
                <w:kern w:val="0"/>
                <w:szCs w:val="21"/>
              </w:rPr>
              <w:t>24.0</w:t>
            </w:r>
          </w:p>
        </w:tc>
        <w:tc>
          <w:tcPr>
            <w:tcW w:w="695" w:type="dxa"/>
            <w:vAlign w:val="center"/>
          </w:tcPr>
          <w:p>
            <w:pPr>
              <w:widowControl/>
              <w:jc w:val="center"/>
              <w:rPr>
                <w:color w:val="000000"/>
                <w:kern w:val="0"/>
                <w:szCs w:val="21"/>
              </w:rPr>
            </w:pPr>
            <w:r>
              <w:rPr>
                <w:color w:val="000000"/>
                <w:kern w:val="0"/>
                <w:szCs w:val="21"/>
              </w:rPr>
              <w:t>44.0</w:t>
            </w:r>
          </w:p>
        </w:tc>
        <w:tc>
          <w:tcPr>
            <w:tcW w:w="846" w:type="dxa"/>
            <w:vAlign w:val="center"/>
          </w:tcPr>
          <w:p>
            <w:pPr>
              <w:widowControl/>
              <w:jc w:val="center"/>
              <w:rPr>
                <w:color w:val="000000"/>
                <w:kern w:val="0"/>
                <w:szCs w:val="21"/>
              </w:rPr>
            </w:pPr>
            <w:r>
              <w:rPr>
                <w:color w:val="000000"/>
                <w:kern w:val="0"/>
                <w:szCs w:val="21"/>
              </w:rPr>
              <w:t>32.0</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63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0.96</w:t>
            </w:r>
          </w:p>
        </w:tc>
        <w:tc>
          <w:tcPr>
            <w:tcW w:w="636" w:type="dxa"/>
            <w:vAlign w:val="center"/>
          </w:tcPr>
          <w:p>
            <w:pPr>
              <w:widowControl/>
              <w:jc w:val="center"/>
              <w:rPr>
                <w:color w:val="000000"/>
                <w:kern w:val="0"/>
                <w:szCs w:val="21"/>
              </w:rPr>
            </w:pPr>
            <w:r>
              <w:rPr>
                <w:color w:val="000000"/>
                <w:kern w:val="0"/>
                <w:szCs w:val="21"/>
              </w:rPr>
              <w:t>36.0</w:t>
            </w:r>
          </w:p>
        </w:tc>
        <w:tc>
          <w:tcPr>
            <w:tcW w:w="695" w:type="dxa"/>
            <w:vAlign w:val="center"/>
          </w:tcPr>
          <w:p>
            <w:pPr>
              <w:widowControl/>
              <w:jc w:val="center"/>
              <w:rPr>
                <w:color w:val="000000"/>
                <w:kern w:val="0"/>
                <w:szCs w:val="21"/>
              </w:rPr>
            </w:pPr>
            <w:r>
              <w:rPr>
                <w:color w:val="000000"/>
                <w:kern w:val="0"/>
                <w:szCs w:val="21"/>
              </w:rPr>
              <w:t>36.0</w:t>
            </w:r>
          </w:p>
        </w:tc>
        <w:tc>
          <w:tcPr>
            <w:tcW w:w="84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8.0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4.54</w:t>
            </w:r>
          </w:p>
        </w:tc>
        <w:tc>
          <w:tcPr>
            <w:tcW w:w="846" w:type="dxa"/>
            <w:shd w:val="clear" w:color="auto" w:fill="auto"/>
            <w:vAlign w:val="center"/>
          </w:tcPr>
          <w:p>
            <w:pPr>
              <w:widowControl/>
              <w:jc w:val="center"/>
              <w:rPr>
                <w:color w:val="000000"/>
                <w:kern w:val="0"/>
                <w:szCs w:val="21"/>
              </w:rPr>
            </w:pPr>
            <w:r>
              <w:rPr>
                <w:color w:val="000000"/>
                <w:kern w:val="0"/>
                <w:szCs w:val="21"/>
              </w:rPr>
              <w:t>0.52</w:t>
            </w:r>
          </w:p>
        </w:tc>
        <w:tc>
          <w:tcPr>
            <w:tcW w:w="636" w:type="dxa"/>
            <w:vAlign w:val="center"/>
          </w:tcPr>
          <w:p>
            <w:pPr>
              <w:widowControl/>
              <w:jc w:val="center"/>
              <w:rPr>
                <w:color w:val="000000"/>
                <w:kern w:val="0"/>
                <w:szCs w:val="21"/>
              </w:rPr>
            </w:pPr>
            <w:r>
              <w:rPr>
                <w:color w:val="000000"/>
                <w:kern w:val="0"/>
                <w:szCs w:val="21"/>
              </w:rPr>
              <w:t>53.8</w:t>
            </w:r>
          </w:p>
        </w:tc>
        <w:tc>
          <w:tcPr>
            <w:tcW w:w="695" w:type="dxa"/>
            <w:vAlign w:val="center"/>
          </w:tcPr>
          <w:p>
            <w:pPr>
              <w:widowControl/>
              <w:jc w:val="center"/>
              <w:rPr>
                <w:color w:val="000000"/>
                <w:kern w:val="0"/>
                <w:szCs w:val="21"/>
              </w:rPr>
            </w:pPr>
            <w:r>
              <w:rPr>
                <w:color w:val="000000"/>
                <w:kern w:val="0"/>
                <w:szCs w:val="21"/>
              </w:rPr>
              <w:t>46.2</w:t>
            </w:r>
          </w:p>
        </w:tc>
        <w:tc>
          <w:tcPr>
            <w:tcW w:w="84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636" w:type="dxa"/>
            <w:vAlign w:val="center"/>
          </w:tcPr>
          <w:p>
            <w:pPr>
              <w:widowControl/>
              <w:jc w:val="center"/>
              <w:rPr>
                <w:color w:val="000000"/>
                <w:kern w:val="0"/>
                <w:szCs w:val="21"/>
              </w:rPr>
            </w:pPr>
            <w:r>
              <w:rPr>
                <w:color w:val="000000"/>
                <w:kern w:val="0"/>
                <w:szCs w:val="21"/>
              </w:rPr>
              <w:t>7.4</w:t>
            </w:r>
          </w:p>
        </w:tc>
        <w:tc>
          <w:tcPr>
            <w:tcW w:w="695" w:type="dxa"/>
            <w:vAlign w:val="center"/>
          </w:tcPr>
          <w:p>
            <w:pPr>
              <w:widowControl/>
              <w:jc w:val="center"/>
              <w:rPr>
                <w:color w:val="000000"/>
                <w:kern w:val="0"/>
                <w:szCs w:val="21"/>
              </w:rPr>
            </w:pPr>
            <w:r>
              <w:rPr>
                <w:color w:val="000000"/>
                <w:kern w:val="0"/>
                <w:szCs w:val="21"/>
              </w:rPr>
              <w:t>55.6</w:t>
            </w:r>
          </w:p>
        </w:tc>
        <w:tc>
          <w:tcPr>
            <w:tcW w:w="84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3.7</w:t>
            </w:r>
          </w:p>
        </w:tc>
        <w:tc>
          <w:tcPr>
            <w:tcW w:w="1104"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3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636" w:type="dxa"/>
            <w:vAlign w:val="center"/>
          </w:tcPr>
          <w:p>
            <w:pPr>
              <w:widowControl/>
              <w:jc w:val="center"/>
              <w:rPr>
                <w:color w:val="000000"/>
                <w:kern w:val="0"/>
                <w:szCs w:val="21"/>
              </w:rPr>
            </w:pPr>
            <w:r>
              <w:rPr>
                <w:color w:val="000000"/>
                <w:kern w:val="0"/>
                <w:szCs w:val="21"/>
              </w:rPr>
              <w:t>30.1</w:t>
            </w:r>
          </w:p>
        </w:tc>
        <w:tc>
          <w:tcPr>
            <w:tcW w:w="695" w:type="dxa"/>
            <w:vAlign w:val="center"/>
          </w:tcPr>
          <w:p>
            <w:pPr>
              <w:widowControl/>
              <w:jc w:val="center"/>
              <w:rPr>
                <w:color w:val="000000"/>
                <w:kern w:val="0"/>
                <w:szCs w:val="21"/>
              </w:rPr>
            </w:pPr>
            <w:r>
              <w:rPr>
                <w:color w:val="000000"/>
                <w:kern w:val="0"/>
                <w:szCs w:val="21"/>
              </w:rPr>
              <w:t>43.8</w:t>
            </w:r>
          </w:p>
        </w:tc>
        <w:tc>
          <w:tcPr>
            <w:tcW w:w="846" w:type="dxa"/>
            <w:vAlign w:val="center"/>
          </w:tcPr>
          <w:p>
            <w:pPr>
              <w:widowControl/>
              <w:jc w:val="center"/>
              <w:rPr>
                <w:color w:val="000000"/>
                <w:kern w:val="0"/>
                <w:szCs w:val="21"/>
              </w:rPr>
            </w:pPr>
            <w:r>
              <w:rPr>
                <w:color w:val="000000"/>
                <w:kern w:val="0"/>
                <w:szCs w:val="21"/>
              </w:rPr>
              <w:t>22.6</w:t>
            </w:r>
          </w:p>
        </w:tc>
        <w:tc>
          <w:tcPr>
            <w:tcW w:w="589" w:type="dxa"/>
            <w:vAlign w:val="center"/>
          </w:tcPr>
          <w:p>
            <w:pPr>
              <w:widowControl/>
              <w:jc w:val="center"/>
              <w:rPr>
                <w:color w:val="000000"/>
                <w:kern w:val="0"/>
                <w:szCs w:val="21"/>
              </w:rPr>
            </w:pPr>
            <w:r>
              <w:rPr>
                <w:color w:val="000000"/>
                <w:kern w:val="0"/>
                <w:szCs w:val="21"/>
              </w:rPr>
              <w:t>3.5</w:t>
            </w:r>
          </w:p>
        </w:tc>
        <w:tc>
          <w:tcPr>
            <w:tcW w:w="1104" w:type="dxa"/>
            <w:shd w:val="clear" w:color="auto" w:fill="auto"/>
            <w:vAlign w:val="center"/>
          </w:tcPr>
          <w:p>
            <w:pPr>
              <w:widowControl/>
              <w:jc w:val="center"/>
              <w:rPr>
                <w:color w:val="000000"/>
                <w:kern w:val="0"/>
                <w:szCs w:val="21"/>
              </w:rPr>
            </w:pPr>
          </w:p>
        </w:tc>
      </w:tr>
    </w:tbl>
    <w:p>
      <w:pPr>
        <w:rPr>
          <w:sz w:val="20"/>
          <w:szCs w:val="20"/>
        </w:rPr>
      </w:pPr>
      <w:r>
        <w:rPr>
          <w:rFonts w:hint="eastAsia"/>
          <w:sz w:val="20"/>
          <w:szCs w:val="20"/>
        </w:rPr>
        <w:t>注：得分5=很多，4=多，3=不好说，2=少，1=很少</w:t>
      </w:r>
    </w:p>
    <w:p/>
    <w:p>
      <w:pPr>
        <w:pStyle w:val="70"/>
      </w:pPr>
      <w:r>
        <w:rPr>
          <w:rFonts w:hint="eastAsia"/>
        </w:rPr>
        <w:t>（4）所学专业技能满足工作需要的情况</w:t>
      </w:r>
    </w:p>
    <w:p>
      <w:pPr>
        <w:pStyle w:val="75"/>
      </w:pPr>
      <w:bookmarkStart w:id="116" w:name="PO_331232"/>
      <w:bookmarkEnd w:id="116"/>
      <w:r>
        <w:rPr>
          <w:rFonts w:hint="eastAsia"/>
        </w:rPr>
        <w:t>①总体情况</w:t>
      </w:r>
    </w:p>
    <w:p>
      <w:pPr>
        <w:pStyle w:val="37"/>
        <w:ind w:firstLine="480"/>
      </w:pPr>
      <w:r>
        <w:rPr>
          <w:rFonts w:hint="eastAsia"/>
        </w:rPr>
        <w:t>对于所学专业技能满足工作需要的程度，69.5%的本科生表示“很多”或“多”，25.7%认为“不好说”，4.9%则表示“少”。</w:t>
      </w:r>
    </w:p>
    <w:p>
      <w:pPr>
        <w:jc w:val="center"/>
      </w:pPr>
      <w:r>
        <w:rPr>
          <w:rFonts w:hint="eastAsia"/>
        </w:rPr>
        <w:drawing>
          <wp:inline distT="0" distB="0" distL="0" distR="0">
            <wp:extent cx="6076950" cy="2895600"/>
            <wp:effectExtent l="0" t="0" r="0" b="0"/>
            <wp:docPr id="3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59"/>
        <w:spacing w:before="156" w:after="312"/>
      </w:pPr>
      <w:r>
        <w:rPr>
          <w:rFonts w:hint="eastAsia"/>
        </w:rPr>
        <w:t>本科生所学专业技能满足工作需要的程度</w:t>
      </w:r>
    </w:p>
    <w:p>
      <w:pPr>
        <w:pStyle w:val="75"/>
      </w:pPr>
      <w:r>
        <w:rPr>
          <w:rFonts w:hint="eastAsia"/>
        </w:rPr>
        <w:t>②不同专业本科生对所学专业技能满足工作需要程度的评价</w:t>
      </w:r>
    </w:p>
    <w:p>
      <w:pPr>
        <w:pStyle w:val="37"/>
        <w:ind w:firstLine="480"/>
      </w:pPr>
      <w:r>
        <w:rPr>
          <w:rFonts w:hint="eastAsia"/>
        </w:rPr>
        <w:t>就专业而言，方差检验显示，不同专业的本科生对所学专业技能满足工作需要的程度存在非常显著性差异（F=3.22，p&lt;0.001）。对所学专业技能满足工作需要的程度排在前三名的专业依次为：表演、影视编导、舞台灯光。</w:t>
      </w:r>
    </w:p>
    <w:p>
      <w:pPr>
        <w:jc w:val="center"/>
      </w:pPr>
      <w:r>
        <w:rPr>
          <w:rFonts w:hint="eastAsia"/>
        </w:rPr>
        <w:drawing>
          <wp:inline distT="0" distB="0" distL="0" distR="0">
            <wp:extent cx="5791200" cy="8305800"/>
            <wp:effectExtent l="19050" t="0" r="19050" b="0"/>
            <wp:docPr id="3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59"/>
        <w:spacing w:before="156" w:after="312"/>
      </w:pPr>
      <w:r>
        <w:rPr>
          <w:rFonts w:hint="eastAsia"/>
        </w:rPr>
        <w:t>不同专业本科生所学专业技能满足工作需要的程度</w:t>
      </w:r>
    </w:p>
    <w:p>
      <w:pPr>
        <w:pStyle w:val="53"/>
        <w:spacing w:before="312" w:after="156"/>
      </w:pPr>
      <w:r>
        <w:rPr>
          <w:rFonts w:hint="eastAsia"/>
        </w:rPr>
        <w:t>本科生所学专业技能满足工作需要的程度</w:t>
      </w:r>
    </w:p>
    <w:tbl>
      <w:tblPr>
        <w:tblStyle w:val="33"/>
        <w:tblW w:w="842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6"/>
        <w:gridCol w:w="636"/>
        <w:gridCol w:w="846"/>
        <w:gridCol w:w="636"/>
        <w:gridCol w:w="589"/>
        <w:gridCol w:w="846"/>
        <w:gridCol w:w="695"/>
        <w:gridCol w:w="1104"/>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766"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04"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很多</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少</w:t>
            </w:r>
          </w:p>
        </w:tc>
        <w:tc>
          <w:tcPr>
            <w:tcW w:w="11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4.46</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636" w:type="dxa"/>
            <w:vAlign w:val="center"/>
          </w:tcPr>
          <w:p>
            <w:pPr>
              <w:widowControl/>
              <w:jc w:val="center"/>
              <w:rPr>
                <w:color w:val="000000"/>
                <w:kern w:val="0"/>
                <w:szCs w:val="21"/>
              </w:rPr>
            </w:pPr>
            <w:r>
              <w:rPr>
                <w:color w:val="000000"/>
                <w:kern w:val="0"/>
                <w:szCs w:val="21"/>
              </w:rPr>
              <w:t>58.5</w:t>
            </w:r>
          </w:p>
        </w:tc>
        <w:tc>
          <w:tcPr>
            <w:tcW w:w="589" w:type="dxa"/>
            <w:vAlign w:val="center"/>
          </w:tcPr>
          <w:p>
            <w:pPr>
              <w:widowControl/>
              <w:jc w:val="center"/>
              <w:rPr>
                <w:color w:val="000000"/>
                <w:kern w:val="0"/>
                <w:szCs w:val="21"/>
              </w:rPr>
            </w:pPr>
            <w:r>
              <w:rPr>
                <w:color w:val="000000"/>
                <w:kern w:val="0"/>
                <w:szCs w:val="21"/>
              </w:rPr>
              <w:t>29.3</w:t>
            </w:r>
          </w:p>
        </w:tc>
        <w:tc>
          <w:tcPr>
            <w:tcW w:w="846" w:type="dxa"/>
            <w:vAlign w:val="center"/>
          </w:tcPr>
          <w:p>
            <w:pPr>
              <w:widowControl/>
              <w:jc w:val="center"/>
              <w:rPr>
                <w:color w:val="000000"/>
                <w:kern w:val="0"/>
                <w:szCs w:val="21"/>
              </w:rPr>
            </w:pPr>
            <w:r>
              <w:rPr>
                <w:color w:val="000000"/>
                <w:kern w:val="0"/>
                <w:szCs w:val="21"/>
              </w:rPr>
              <w:t>12.2</w:t>
            </w:r>
          </w:p>
        </w:tc>
        <w:tc>
          <w:tcPr>
            <w:tcW w:w="695" w:type="dxa"/>
            <w:vAlign w:val="center"/>
          </w:tcPr>
          <w:p>
            <w:pPr>
              <w:widowControl/>
              <w:jc w:val="center"/>
              <w:rPr>
                <w:color w:val="000000"/>
                <w:kern w:val="0"/>
                <w:szCs w:val="21"/>
              </w:rPr>
            </w:pPr>
            <w:r>
              <w:rPr>
                <w:color w:val="000000"/>
                <w:kern w:val="0"/>
                <w:szCs w:val="21"/>
              </w:rPr>
              <w:t>0.0</w:t>
            </w:r>
          </w:p>
        </w:tc>
        <w:tc>
          <w:tcPr>
            <w:tcW w:w="1104" w:type="dxa"/>
            <w:vMerge w:val="restart"/>
            <w:shd w:val="clear" w:color="auto" w:fill="auto"/>
            <w:vAlign w:val="center"/>
          </w:tcPr>
          <w:p>
            <w:pPr>
              <w:jc w:val="center"/>
              <w:rPr>
                <w:color w:val="000000"/>
                <w:kern w:val="0"/>
                <w:szCs w:val="21"/>
              </w:rPr>
            </w:pPr>
            <w:r>
              <w:rPr>
                <w:color w:val="000000"/>
                <w:kern w:val="0"/>
                <w:szCs w:val="21"/>
              </w:rPr>
              <w:t>F=3.22***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4.04</w:t>
            </w:r>
          </w:p>
        </w:tc>
        <w:tc>
          <w:tcPr>
            <w:tcW w:w="846" w:type="dxa"/>
            <w:shd w:val="clear" w:color="auto" w:fill="auto"/>
            <w:vAlign w:val="center"/>
          </w:tcPr>
          <w:p>
            <w:pPr>
              <w:widowControl/>
              <w:jc w:val="center"/>
              <w:rPr>
                <w:color w:val="000000"/>
                <w:kern w:val="0"/>
                <w:szCs w:val="21"/>
              </w:rPr>
            </w:pPr>
            <w:r>
              <w:rPr>
                <w:color w:val="000000"/>
                <w:kern w:val="0"/>
                <w:szCs w:val="21"/>
              </w:rPr>
              <w:t>0.93</w:t>
            </w:r>
          </w:p>
        </w:tc>
        <w:tc>
          <w:tcPr>
            <w:tcW w:w="636" w:type="dxa"/>
            <w:vAlign w:val="center"/>
          </w:tcPr>
          <w:p>
            <w:pPr>
              <w:widowControl/>
              <w:jc w:val="center"/>
              <w:rPr>
                <w:color w:val="000000"/>
                <w:kern w:val="0"/>
                <w:szCs w:val="21"/>
              </w:rPr>
            </w:pPr>
            <w:r>
              <w:rPr>
                <w:color w:val="000000"/>
                <w:kern w:val="0"/>
                <w:szCs w:val="21"/>
              </w:rPr>
              <w:t>39.1</w:t>
            </w:r>
          </w:p>
        </w:tc>
        <w:tc>
          <w:tcPr>
            <w:tcW w:w="589" w:type="dxa"/>
            <w:vAlign w:val="center"/>
          </w:tcPr>
          <w:p>
            <w:pPr>
              <w:widowControl/>
              <w:jc w:val="center"/>
              <w:rPr>
                <w:color w:val="000000"/>
                <w:kern w:val="0"/>
                <w:szCs w:val="21"/>
              </w:rPr>
            </w:pPr>
            <w:r>
              <w:rPr>
                <w:color w:val="000000"/>
                <w:kern w:val="0"/>
                <w:szCs w:val="21"/>
              </w:rPr>
              <w:t>30.4</w:t>
            </w:r>
          </w:p>
        </w:tc>
        <w:tc>
          <w:tcPr>
            <w:tcW w:w="846" w:type="dxa"/>
            <w:vAlign w:val="center"/>
          </w:tcPr>
          <w:p>
            <w:pPr>
              <w:widowControl/>
              <w:jc w:val="center"/>
              <w:rPr>
                <w:color w:val="000000"/>
                <w:kern w:val="0"/>
                <w:szCs w:val="21"/>
              </w:rPr>
            </w:pPr>
            <w:r>
              <w:rPr>
                <w:color w:val="000000"/>
                <w:kern w:val="0"/>
                <w:szCs w:val="21"/>
              </w:rPr>
              <w:t>26.1</w:t>
            </w:r>
          </w:p>
        </w:tc>
        <w:tc>
          <w:tcPr>
            <w:tcW w:w="695" w:type="dxa"/>
            <w:vAlign w:val="center"/>
          </w:tcPr>
          <w:p>
            <w:pPr>
              <w:widowControl/>
              <w:jc w:val="center"/>
              <w:rPr>
                <w:color w:val="000000"/>
                <w:kern w:val="0"/>
                <w:szCs w:val="21"/>
              </w:rPr>
            </w:pPr>
            <w:r>
              <w:rPr>
                <w:color w:val="000000"/>
                <w:kern w:val="0"/>
                <w:szCs w:val="21"/>
              </w:rPr>
              <w:t>4.3</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636" w:type="dxa"/>
            <w:vAlign w:val="center"/>
          </w:tcPr>
          <w:p>
            <w:pPr>
              <w:widowControl/>
              <w:jc w:val="center"/>
              <w:rPr>
                <w:color w:val="000000"/>
                <w:kern w:val="0"/>
                <w:szCs w:val="21"/>
              </w:rPr>
            </w:pPr>
            <w:r>
              <w:rPr>
                <w:color w:val="000000"/>
                <w:kern w:val="0"/>
                <w:szCs w:val="21"/>
              </w:rPr>
              <w:t>30.8</w:t>
            </w:r>
          </w:p>
        </w:tc>
        <w:tc>
          <w:tcPr>
            <w:tcW w:w="589" w:type="dxa"/>
            <w:vAlign w:val="center"/>
          </w:tcPr>
          <w:p>
            <w:pPr>
              <w:widowControl/>
              <w:jc w:val="center"/>
              <w:rPr>
                <w:color w:val="000000"/>
                <w:kern w:val="0"/>
                <w:szCs w:val="21"/>
              </w:rPr>
            </w:pPr>
            <w:r>
              <w:rPr>
                <w:color w:val="000000"/>
                <w:kern w:val="0"/>
                <w:szCs w:val="21"/>
              </w:rPr>
              <w:t>30.8</w:t>
            </w:r>
          </w:p>
        </w:tc>
        <w:tc>
          <w:tcPr>
            <w:tcW w:w="846" w:type="dxa"/>
            <w:vAlign w:val="center"/>
          </w:tcPr>
          <w:p>
            <w:pPr>
              <w:widowControl/>
              <w:jc w:val="center"/>
              <w:rPr>
                <w:color w:val="000000"/>
                <w:kern w:val="0"/>
                <w:szCs w:val="21"/>
              </w:rPr>
            </w:pPr>
            <w:r>
              <w:rPr>
                <w:color w:val="000000"/>
                <w:kern w:val="0"/>
                <w:szCs w:val="21"/>
              </w:rPr>
              <w:t>38.5</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4.10</w:t>
            </w:r>
          </w:p>
        </w:tc>
        <w:tc>
          <w:tcPr>
            <w:tcW w:w="846" w:type="dxa"/>
            <w:shd w:val="clear" w:color="auto" w:fill="auto"/>
            <w:vAlign w:val="center"/>
          </w:tcPr>
          <w:p>
            <w:pPr>
              <w:widowControl/>
              <w:jc w:val="center"/>
              <w:rPr>
                <w:color w:val="000000"/>
                <w:kern w:val="0"/>
                <w:szCs w:val="21"/>
              </w:rPr>
            </w:pPr>
            <w:r>
              <w:rPr>
                <w:color w:val="000000"/>
                <w:kern w:val="0"/>
                <w:szCs w:val="21"/>
              </w:rPr>
              <w:t>0.57</w:t>
            </w:r>
          </w:p>
        </w:tc>
        <w:tc>
          <w:tcPr>
            <w:tcW w:w="63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70.0</w:t>
            </w:r>
          </w:p>
        </w:tc>
        <w:tc>
          <w:tcPr>
            <w:tcW w:w="846" w:type="dxa"/>
            <w:vAlign w:val="center"/>
          </w:tcPr>
          <w:p>
            <w:pPr>
              <w:widowControl/>
              <w:jc w:val="center"/>
              <w:rPr>
                <w:color w:val="000000"/>
                <w:kern w:val="0"/>
                <w:szCs w:val="21"/>
              </w:rPr>
            </w:pPr>
            <w:r>
              <w:rPr>
                <w:color w:val="000000"/>
                <w:kern w:val="0"/>
                <w:szCs w:val="21"/>
              </w:rPr>
              <w:t>10.0</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3.63</w:t>
            </w:r>
          </w:p>
        </w:tc>
        <w:tc>
          <w:tcPr>
            <w:tcW w:w="846" w:type="dxa"/>
            <w:shd w:val="clear" w:color="auto" w:fill="auto"/>
            <w:vAlign w:val="center"/>
          </w:tcPr>
          <w:p>
            <w:pPr>
              <w:widowControl/>
              <w:jc w:val="center"/>
              <w:rPr>
                <w:color w:val="000000"/>
                <w:kern w:val="0"/>
                <w:szCs w:val="21"/>
              </w:rPr>
            </w:pPr>
            <w:r>
              <w:rPr>
                <w:color w:val="000000"/>
                <w:kern w:val="0"/>
                <w:szCs w:val="21"/>
              </w:rPr>
              <w:t>1.06</w:t>
            </w:r>
          </w:p>
        </w:tc>
        <w:tc>
          <w:tcPr>
            <w:tcW w:w="636" w:type="dxa"/>
            <w:vAlign w:val="center"/>
          </w:tcPr>
          <w:p>
            <w:pPr>
              <w:widowControl/>
              <w:jc w:val="center"/>
              <w:rPr>
                <w:color w:val="000000"/>
                <w:kern w:val="0"/>
                <w:szCs w:val="21"/>
              </w:rPr>
            </w:pPr>
            <w:r>
              <w:rPr>
                <w:color w:val="000000"/>
                <w:kern w:val="0"/>
                <w:szCs w:val="21"/>
              </w:rPr>
              <w:t>25.0</w:t>
            </w:r>
          </w:p>
        </w:tc>
        <w:tc>
          <w:tcPr>
            <w:tcW w:w="589"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37.5</w:t>
            </w:r>
          </w:p>
        </w:tc>
        <w:tc>
          <w:tcPr>
            <w:tcW w:w="695" w:type="dxa"/>
            <w:vAlign w:val="center"/>
          </w:tcPr>
          <w:p>
            <w:pPr>
              <w:widowControl/>
              <w:jc w:val="center"/>
              <w:rPr>
                <w:color w:val="000000"/>
                <w:kern w:val="0"/>
                <w:szCs w:val="21"/>
              </w:rPr>
            </w:pPr>
            <w:r>
              <w:rPr>
                <w:color w:val="000000"/>
                <w:kern w:val="0"/>
                <w:szCs w:val="21"/>
              </w:rPr>
              <w:t>12.5</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80.0</w:t>
            </w:r>
          </w:p>
        </w:tc>
        <w:tc>
          <w:tcPr>
            <w:tcW w:w="84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3.25</w:t>
            </w:r>
          </w:p>
        </w:tc>
        <w:tc>
          <w:tcPr>
            <w:tcW w:w="846" w:type="dxa"/>
            <w:shd w:val="clear" w:color="auto" w:fill="auto"/>
            <w:vAlign w:val="center"/>
          </w:tcPr>
          <w:p>
            <w:pPr>
              <w:widowControl/>
              <w:jc w:val="center"/>
              <w:rPr>
                <w:color w:val="000000"/>
                <w:kern w:val="0"/>
                <w:szCs w:val="21"/>
              </w:rPr>
            </w:pPr>
            <w:r>
              <w:rPr>
                <w:color w:val="000000"/>
                <w:kern w:val="0"/>
                <w:szCs w:val="21"/>
              </w:rPr>
              <w:t>0.97</w:t>
            </w:r>
          </w:p>
        </w:tc>
        <w:tc>
          <w:tcPr>
            <w:tcW w:w="636" w:type="dxa"/>
            <w:vAlign w:val="center"/>
          </w:tcPr>
          <w:p>
            <w:pPr>
              <w:widowControl/>
              <w:jc w:val="center"/>
              <w:rPr>
                <w:color w:val="000000"/>
                <w:kern w:val="0"/>
                <w:szCs w:val="21"/>
              </w:rPr>
            </w:pPr>
            <w:r>
              <w:rPr>
                <w:color w:val="000000"/>
                <w:kern w:val="0"/>
                <w:szCs w:val="21"/>
              </w:rPr>
              <w:t>8.3</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25.0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3.78</w:t>
            </w:r>
          </w:p>
        </w:tc>
        <w:tc>
          <w:tcPr>
            <w:tcW w:w="846" w:type="dxa"/>
            <w:shd w:val="clear" w:color="auto" w:fill="auto"/>
            <w:vAlign w:val="center"/>
          </w:tcPr>
          <w:p>
            <w:pPr>
              <w:widowControl/>
              <w:jc w:val="center"/>
              <w:rPr>
                <w:color w:val="000000"/>
                <w:kern w:val="0"/>
                <w:szCs w:val="21"/>
              </w:rPr>
            </w:pPr>
            <w:r>
              <w:rPr>
                <w:color w:val="000000"/>
                <w:kern w:val="0"/>
                <w:szCs w:val="21"/>
              </w:rPr>
              <w:t>1.20</w:t>
            </w:r>
          </w:p>
        </w:tc>
        <w:tc>
          <w:tcPr>
            <w:tcW w:w="63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11.1</w:t>
            </w:r>
          </w:p>
        </w:tc>
        <w:tc>
          <w:tcPr>
            <w:tcW w:w="695" w:type="dxa"/>
            <w:vAlign w:val="center"/>
          </w:tcPr>
          <w:p>
            <w:pPr>
              <w:widowControl/>
              <w:jc w:val="center"/>
              <w:rPr>
                <w:color w:val="000000"/>
                <w:kern w:val="0"/>
                <w:szCs w:val="21"/>
              </w:rPr>
            </w:pPr>
            <w:r>
              <w:rPr>
                <w:color w:val="000000"/>
                <w:kern w:val="0"/>
                <w:szCs w:val="21"/>
              </w:rPr>
              <w:t>22.2</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3.64</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636" w:type="dxa"/>
            <w:vAlign w:val="center"/>
          </w:tcPr>
          <w:p>
            <w:pPr>
              <w:widowControl/>
              <w:jc w:val="center"/>
              <w:rPr>
                <w:color w:val="000000"/>
                <w:kern w:val="0"/>
                <w:szCs w:val="21"/>
              </w:rPr>
            </w:pPr>
            <w:r>
              <w:rPr>
                <w:color w:val="000000"/>
                <w:kern w:val="0"/>
                <w:szCs w:val="21"/>
              </w:rPr>
              <w:t>9.1</w:t>
            </w:r>
          </w:p>
        </w:tc>
        <w:tc>
          <w:tcPr>
            <w:tcW w:w="589" w:type="dxa"/>
            <w:vAlign w:val="center"/>
          </w:tcPr>
          <w:p>
            <w:pPr>
              <w:widowControl/>
              <w:jc w:val="center"/>
              <w:rPr>
                <w:color w:val="000000"/>
                <w:kern w:val="0"/>
                <w:szCs w:val="21"/>
              </w:rPr>
            </w:pPr>
            <w:r>
              <w:rPr>
                <w:color w:val="000000"/>
                <w:kern w:val="0"/>
                <w:szCs w:val="21"/>
              </w:rPr>
              <w:t>45.5</w:t>
            </w:r>
          </w:p>
        </w:tc>
        <w:tc>
          <w:tcPr>
            <w:tcW w:w="846" w:type="dxa"/>
            <w:vAlign w:val="center"/>
          </w:tcPr>
          <w:p>
            <w:pPr>
              <w:widowControl/>
              <w:jc w:val="center"/>
              <w:rPr>
                <w:color w:val="000000"/>
                <w:kern w:val="0"/>
                <w:szCs w:val="21"/>
              </w:rPr>
            </w:pPr>
            <w:r>
              <w:rPr>
                <w:color w:val="000000"/>
                <w:kern w:val="0"/>
                <w:szCs w:val="21"/>
              </w:rPr>
              <w:t>45.5</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3.72</w:t>
            </w:r>
          </w:p>
        </w:tc>
        <w:tc>
          <w:tcPr>
            <w:tcW w:w="846" w:type="dxa"/>
            <w:shd w:val="clear" w:color="auto" w:fill="auto"/>
            <w:vAlign w:val="center"/>
          </w:tcPr>
          <w:p>
            <w:pPr>
              <w:widowControl/>
              <w:jc w:val="center"/>
              <w:rPr>
                <w:color w:val="000000"/>
                <w:kern w:val="0"/>
                <w:szCs w:val="21"/>
              </w:rPr>
            </w:pPr>
            <w:r>
              <w:rPr>
                <w:color w:val="000000"/>
                <w:kern w:val="0"/>
                <w:szCs w:val="21"/>
              </w:rPr>
              <w:t>0.79</w:t>
            </w:r>
          </w:p>
        </w:tc>
        <w:tc>
          <w:tcPr>
            <w:tcW w:w="636" w:type="dxa"/>
            <w:vAlign w:val="center"/>
          </w:tcPr>
          <w:p>
            <w:pPr>
              <w:widowControl/>
              <w:jc w:val="center"/>
              <w:rPr>
                <w:color w:val="000000"/>
                <w:kern w:val="0"/>
                <w:szCs w:val="21"/>
              </w:rPr>
            </w:pPr>
            <w:r>
              <w:rPr>
                <w:color w:val="000000"/>
                <w:kern w:val="0"/>
                <w:szCs w:val="21"/>
              </w:rPr>
              <w:t>16.0</w:t>
            </w:r>
          </w:p>
        </w:tc>
        <w:tc>
          <w:tcPr>
            <w:tcW w:w="589" w:type="dxa"/>
            <w:vAlign w:val="center"/>
          </w:tcPr>
          <w:p>
            <w:pPr>
              <w:widowControl/>
              <w:jc w:val="center"/>
              <w:rPr>
                <w:color w:val="000000"/>
                <w:kern w:val="0"/>
                <w:szCs w:val="21"/>
              </w:rPr>
            </w:pPr>
            <w:r>
              <w:rPr>
                <w:color w:val="000000"/>
                <w:kern w:val="0"/>
                <w:szCs w:val="21"/>
              </w:rPr>
              <w:t>44.0</w:t>
            </w:r>
          </w:p>
        </w:tc>
        <w:tc>
          <w:tcPr>
            <w:tcW w:w="846" w:type="dxa"/>
            <w:vAlign w:val="center"/>
          </w:tcPr>
          <w:p>
            <w:pPr>
              <w:widowControl/>
              <w:jc w:val="center"/>
              <w:rPr>
                <w:color w:val="000000"/>
                <w:kern w:val="0"/>
                <w:szCs w:val="21"/>
              </w:rPr>
            </w:pPr>
            <w:r>
              <w:rPr>
                <w:color w:val="000000"/>
                <w:kern w:val="0"/>
                <w:szCs w:val="21"/>
              </w:rPr>
              <w:t>36.0</w:t>
            </w:r>
          </w:p>
        </w:tc>
        <w:tc>
          <w:tcPr>
            <w:tcW w:w="695" w:type="dxa"/>
            <w:vAlign w:val="center"/>
          </w:tcPr>
          <w:p>
            <w:pPr>
              <w:widowControl/>
              <w:jc w:val="center"/>
              <w:rPr>
                <w:color w:val="000000"/>
                <w:kern w:val="0"/>
                <w:szCs w:val="21"/>
              </w:rPr>
            </w:pPr>
            <w:r>
              <w:rPr>
                <w:color w:val="000000"/>
                <w:kern w:val="0"/>
                <w:szCs w:val="21"/>
              </w:rPr>
              <w:t>4.0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2.00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3.96</w:t>
            </w:r>
          </w:p>
        </w:tc>
        <w:tc>
          <w:tcPr>
            <w:tcW w:w="846" w:type="dxa"/>
            <w:shd w:val="clear" w:color="auto" w:fill="auto"/>
            <w:vAlign w:val="center"/>
          </w:tcPr>
          <w:p>
            <w:pPr>
              <w:widowControl/>
              <w:jc w:val="center"/>
              <w:rPr>
                <w:color w:val="000000"/>
                <w:kern w:val="0"/>
                <w:szCs w:val="21"/>
              </w:rPr>
            </w:pPr>
            <w:r>
              <w:rPr>
                <w:color w:val="000000"/>
                <w:kern w:val="0"/>
                <w:szCs w:val="21"/>
              </w:rPr>
              <w:t>0.93</w:t>
            </w:r>
          </w:p>
        </w:tc>
        <w:tc>
          <w:tcPr>
            <w:tcW w:w="636" w:type="dxa"/>
            <w:vAlign w:val="center"/>
          </w:tcPr>
          <w:p>
            <w:pPr>
              <w:widowControl/>
              <w:jc w:val="center"/>
              <w:rPr>
                <w:color w:val="000000"/>
                <w:kern w:val="0"/>
                <w:szCs w:val="21"/>
              </w:rPr>
            </w:pPr>
            <w:r>
              <w:rPr>
                <w:color w:val="000000"/>
                <w:kern w:val="0"/>
                <w:szCs w:val="21"/>
              </w:rPr>
              <w:t>32.0</w:t>
            </w:r>
          </w:p>
        </w:tc>
        <w:tc>
          <w:tcPr>
            <w:tcW w:w="589"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8.0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4.46</w:t>
            </w:r>
          </w:p>
        </w:tc>
        <w:tc>
          <w:tcPr>
            <w:tcW w:w="846" w:type="dxa"/>
            <w:shd w:val="clear" w:color="auto" w:fill="auto"/>
            <w:vAlign w:val="center"/>
          </w:tcPr>
          <w:p>
            <w:pPr>
              <w:widowControl/>
              <w:jc w:val="center"/>
              <w:rPr>
                <w:color w:val="000000"/>
                <w:kern w:val="0"/>
                <w:szCs w:val="21"/>
              </w:rPr>
            </w:pPr>
            <w:r>
              <w:rPr>
                <w:color w:val="000000"/>
                <w:kern w:val="0"/>
                <w:szCs w:val="21"/>
              </w:rPr>
              <w:t>0.66</w:t>
            </w:r>
          </w:p>
        </w:tc>
        <w:tc>
          <w:tcPr>
            <w:tcW w:w="636" w:type="dxa"/>
            <w:vAlign w:val="center"/>
          </w:tcPr>
          <w:p>
            <w:pPr>
              <w:widowControl/>
              <w:jc w:val="center"/>
              <w:rPr>
                <w:color w:val="000000"/>
                <w:kern w:val="0"/>
                <w:szCs w:val="21"/>
              </w:rPr>
            </w:pPr>
            <w:r>
              <w:rPr>
                <w:color w:val="000000"/>
                <w:kern w:val="0"/>
                <w:szCs w:val="21"/>
              </w:rPr>
              <w:t>53.8</w:t>
            </w:r>
          </w:p>
        </w:tc>
        <w:tc>
          <w:tcPr>
            <w:tcW w:w="589"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7.7</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3.70</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636" w:type="dxa"/>
            <w:vAlign w:val="center"/>
          </w:tcPr>
          <w:p>
            <w:pPr>
              <w:widowControl/>
              <w:jc w:val="center"/>
              <w:rPr>
                <w:color w:val="000000"/>
                <w:kern w:val="0"/>
                <w:szCs w:val="21"/>
              </w:rPr>
            </w:pPr>
            <w:r>
              <w:rPr>
                <w:color w:val="000000"/>
                <w:kern w:val="0"/>
                <w:szCs w:val="21"/>
              </w:rPr>
              <w:t>11.1</w:t>
            </w:r>
          </w:p>
        </w:tc>
        <w:tc>
          <w:tcPr>
            <w:tcW w:w="589" w:type="dxa"/>
            <w:vAlign w:val="center"/>
          </w:tcPr>
          <w:p>
            <w:pPr>
              <w:widowControl/>
              <w:jc w:val="center"/>
              <w:rPr>
                <w:color w:val="000000"/>
                <w:kern w:val="0"/>
                <w:szCs w:val="21"/>
              </w:rPr>
            </w:pPr>
            <w:r>
              <w:rPr>
                <w:color w:val="000000"/>
                <w:kern w:val="0"/>
                <w:szCs w:val="21"/>
              </w:rPr>
              <w:t>48.1</w:t>
            </w:r>
          </w:p>
        </w:tc>
        <w:tc>
          <w:tcPr>
            <w:tcW w:w="846" w:type="dxa"/>
            <w:vAlign w:val="center"/>
          </w:tcPr>
          <w:p>
            <w:pPr>
              <w:widowControl/>
              <w:jc w:val="center"/>
              <w:rPr>
                <w:color w:val="000000"/>
                <w:kern w:val="0"/>
                <w:szCs w:val="21"/>
              </w:rPr>
            </w:pPr>
            <w:r>
              <w:rPr>
                <w:color w:val="000000"/>
                <w:kern w:val="0"/>
                <w:szCs w:val="21"/>
              </w:rPr>
              <w:t>40.7</w:t>
            </w:r>
          </w:p>
        </w:tc>
        <w:tc>
          <w:tcPr>
            <w:tcW w:w="695"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3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3.95</w:t>
            </w:r>
          </w:p>
        </w:tc>
        <w:tc>
          <w:tcPr>
            <w:tcW w:w="846" w:type="dxa"/>
            <w:shd w:val="clear" w:color="auto" w:fill="auto"/>
            <w:vAlign w:val="center"/>
          </w:tcPr>
          <w:p>
            <w:pPr>
              <w:widowControl/>
              <w:jc w:val="center"/>
              <w:rPr>
                <w:color w:val="000000"/>
                <w:kern w:val="0"/>
                <w:szCs w:val="21"/>
              </w:rPr>
            </w:pPr>
            <w:r>
              <w:rPr>
                <w:color w:val="000000"/>
                <w:kern w:val="0"/>
                <w:szCs w:val="21"/>
              </w:rPr>
              <w:t>0.87</w:t>
            </w:r>
          </w:p>
        </w:tc>
        <w:tc>
          <w:tcPr>
            <w:tcW w:w="636" w:type="dxa"/>
            <w:vAlign w:val="center"/>
          </w:tcPr>
          <w:p>
            <w:pPr>
              <w:widowControl/>
              <w:jc w:val="center"/>
              <w:rPr>
                <w:color w:val="000000"/>
                <w:kern w:val="0"/>
                <w:szCs w:val="21"/>
              </w:rPr>
            </w:pPr>
            <w:r>
              <w:rPr>
                <w:color w:val="000000"/>
                <w:kern w:val="0"/>
                <w:szCs w:val="21"/>
              </w:rPr>
              <w:t>30.1</w:t>
            </w:r>
          </w:p>
        </w:tc>
        <w:tc>
          <w:tcPr>
            <w:tcW w:w="589" w:type="dxa"/>
            <w:vAlign w:val="center"/>
          </w:tcPr>
          <w:p>
            <w:pPr>
              <w:widowControl/>
              <w:jc w:val="center"/>
              <w:rPr>
                <w:color w:val="000000"/>
                <w:kern w:val="0"/>
                <w:szCs w:val="21"/>
              </w:rPr>
            </w:pPr>
            <w:r>
              <w:rPr>
                <w:color w:val="000000"/>
                <w:kern w:val="0"/>
                <w:szCs w:val="21"/>
              </w:rPr>
              <w:t>39.4</w:t>
            </w:r>
          </w:p>
        </w:tc>
        <w:tc>
          <w:tcPr>
            <w:tcW w:w="846" w:type="dxa"/>
            <w:vAlign w:val="center"/>
          </w:tcPr>
          <w:p>
            <w:pPr>
              <w:widowControl/>
              <w:jc w:val="center"/>
              <w:rPr>
                <w:color w:val="000000"/>
                <w:kern w:val="0"/>
                <w:szCs w:val="21"/>
              </w:rPr>
            </w:pPr>
            <w:r>
              <w:rPr>
                <w:color w:val="000000"/>
                <w:kern w:val="0"/>
                <w:szCs w:val="21"/>
              </w:rPr>
              <w:t>25.7</w:t>
            </w:r>
          </w:p>
        </w:tc>
        <w:tc>
          <w:tcPr>
            <w:tcW w:w="695" w:type="dxa"/>
            <w:vAlign w:val="center"/>
          </w:tcPr>
          <w:p>
            <w:pPr>
              <w:widowControl/>
              <w:jc w:val="center"/>
              <w:rPr>
                <w:color w:val="000000"/>
                <w:kern w:val="0"/>
                <w:szCs w:val="21"/>
              </w:rPr>
            </w:pPr>
            <w:r>
              <w:rPr>
                <w:color w:val="000000"/>
                <w:kern w:val="0"/>
                <w:szCs w:val="21"/>
              </w:rPr>
              <w:t>4.9</w:t>
            </w:r>
          </w:p>
        </w:tc>
        <w:tc>
          <w:tcPr>
            <w:tcW w:w="1104" w:type="dxa"/>
            <w:shd w:val="clear" w:color="auto" w:fill="auto"/>
            <w:vAlign w:val="center"/>
          </w:tcPr>
          <w:p>
            <w:pPr>
              <w:widowControl/>
              <w:jc w:val="center"/>
              <w:rPr>
                <w:color w:val="000000"/>
                <w:kern w:val="0"/>
                <w:szCs w:val="21"/>
              </w:rPr>
            </w:pPr>
          </w:p>
        </w:tc>
      </w:tr>
    </w:tbl>
    <w:p>
      <w:pPr>
        <w:rPr>
          <w:sz w:val="20"/>
          <w:szCs w:val="20"/>
        </w:rPr>
      </w:pPr>
      <w:r>
        <w:rPr>
          <w:rFonts w:hint="eastAsia"/>
          <w:sz w:val="20"/>
          <w:szCs w:val="20"/>
        </w:rPr>
        <w:t>注：得分5=很多，4=多，3=不好说，2=少，1=很少</w:t>
      </w:r>
    </w:p>
    <w:p/>
    <w:p>
      <w:pPr>
        <w:pStyle w:val="70"/>
      </w:pPr>
      <w:r>
        <w:rPr>
          <w:rFonts w:hint="eastAsia"/>
        </w:rPr>
        <w:t>（5）对所学专业的社会需求程度的评价</w:t>
      </w:r>
    </w:p>
    <w:p>
      <w:pPr>
        <w:pStyle w:val="75"/>
      </w:pPr>
      <w:bookmarkStart w:id="117" w:name="PO_33124"/>
      <w:bookmarkEnd w:id="117"/>
      <w:r>
        <w:rPr>
          <w:rFonts w:hint="eastAsia"/>
        </w:rPr>
        <w:t>①总体情况</w:t>
      </w:r>
    </w:p>
    <w:p>
      <w:pPr>
        <w:pStyle w:val="37"/>
        <w:ind w:firstLine="480"/>
      </w:pPr>
      <w:r>
        <w:rPr>
          <w:rFonts w:hint="eastAsia"/>
        </w:rPr>
        <w:t>对于所学专业的社会需求程度评价，57.9%的本科生表示“很高”或“高”，33.2%认为“不好说”，8.8%则表示“低”或“很低”。</w:t>
      </w:r>
    </w:p>
    <w:p>
      <w:pPr>
        <w:jc w:val="center"/>
      </w:pPr>
      <w:r>
        <w:rPr>
          <w:rFonts w:hint="eastAsia"/>
        </w:rPr>
        <w:drawing>
          <wp:inline distT="0" distB="0" distL="0" distR="0">
            <wp:extent cx="6076950" cy="2895600"/>
            <wp:effectExtent l="0" t="0" r="0" b="0"/>
            <wp:docPr id="3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59"/>
        <w:spacing w:before="156" w:after="312"/>
      </w:pPr>
      <w:r>
        <w:rPr>
          <w:rFonts w:hint="eastAsia"/>
        </w:rPr>
        <w:t>本科生对所学专业的社会需求程度的评价</w:t>
      </w:r>
    </w:p>
    <w:p>
      <w:pPr>
        <w:pStyle w:val="75"/>
      </w:pPr>
      <w:r>
        <w:rPr>
          <w:rFonts w:hint="eastAsia"/>
        </w:rPr>
        <w:t>②不同专业本科生对所学专业的社会需求程度的评价</w:t>
      </w:r>
    </w:p>
    <w:p>
      <w:pPr>
        <w:pStyle w:val="37"/>
        <w:ind w:firstLine="480"/>
      </w:pPr>
      <w:r>
        <w:rPr>
          <w:rFonts w:hint="eastAsia"/>
        </w:rPr>
        <w:t>就专业而言，方差检验显示，不同专业的本科生对所学专业的社会需求程度的评价存在非常显著性差异（F=2.94，p&lt;0.001）。其中，对所学专业社会需求的程度排在前三名的专业依次为：影视编导、表演、演出制作。</w:t>
      </w:r>
    </w:p>
    <w:p>
      <w:pPr>
        <w:jc w:val="center"/>
      </w:pPr>
      <w:r>
        <w:rPr>
          <w:rFonts w:hint="eastAsia"/>
        </w:rPr>
        <w:drawing>
          <wp:inline distT="0" distB="0" distL="0" distR="0">
            <wp:extent cx="5791200" cy="8305800"/>
            <wp:effectExtent l="19050" t="0" r="19050" b="0"/>
            <wp:docPr id="38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59"/>
        <w:spacing w:before="156" w:after="312"/>
      </w:pPr>
      <w:r>
        <w:rPr>
          <w:rFonts w:hint="eastAsia"/>
        </w:rPr>
        <w:t>不同专业本科生对所学专业的社会需求程度的评价</w:t>
      </w:r>
    </w:p>
    <w:p>
      <w:pPr>
        <w:pStyle w:val="53"/>
        <w:spacing w:before="312" w:after="156"/>
      </w:pPr>
      <w:r>
        <w:rPr>
          <w:rFonts w:hint="eastAsia"/>
        </w:rPr>
        <w:t>本科生对所学专业的社会需求程度的评价</w:t>
      </w:r>
    </w:p>
    <w:tbl>
      <w:tblPr>
        <w:tblStyle w:val="33"/>
        <w:tblW w:w="905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896"/>
        <w:gridCol w:w="536"/>
        <w:gridCol w:w="636"/>
        <w:gridCol w:w="846"/>
        <w:gridCol w:w="636"/>
        <w:gridCol w:w="589"/>
        <w:gridCol w:w="846"/>
        <w:gridCol w:w="695"/>
        <w:gridCol w:w="636"/>
        <w:gridCol w:w="1104"/>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402"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104"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89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很高</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很低</w:t>
            </w:r>
          </w:p>
        </w:tc>
        <w:tc>
          <w:tcPr>
            <w:tcW w:w="1104"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41</w:t>
            </w:r>
          </w:p>
        </w:tc>
        <w:tc>
          <w:tcPr>
            <w:tcW w:w="636" w:type="dxa"/>
            <w:shd w:val="clear" w:color="auto" w:fill="auto"/>
            <w:vAlign w:val="center"/>
          </w:tcPr>
          <w:p>
            <w:pPr>
              <w:widowControl/>
              <w:jc w:val="center"/>
              <w:rPr>
                <w:color w:val="000000"/>
                <w:kern w:val="0"/>
                <w:szCs w:val="21"/>
              </w:rPr>
            </w:pPr>
            <w:r>
              <w:rPr>
                <w:color w:val="000000"/>
                <w:kern w:val="0"/>
                <w:szCs w:val="21"/>
              </w:rPr>
              <w:t>4.05</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636" w:type="dxa"/>
            <w:vAlign w:val="center"/>
          </w:tcPr>
          <w:p>
            <w:pPr>
              <w:widowControl/>
              <w:jc w:val="center"/>
              <w:rPr>
                <w:color w:val="000000"/>
                <w:kern w:val="0"/>
                <w:szCs w:val="21"/>
              </w:rPr>
            </w:pPr>
            <w:r>
              <w:rPr>
                <w:color w:val="000000"/>
                <w:kern w:val="0"/>
                <w:szCs w:val="21"/>
              </w:rPr>
              <w:t>36.6</w:t>
            </w:r>
          </w:p>
        </w:tc>
        <w:tc>
          <w:tcPr>
            <w:tcW w:w="589" w:type="dxa"/>
            <w:vAlign w:val="center"/>
          </w:tcPr>
          <w:p>
            <w:pPr>
              <w:widowControl/>
              <w:jc w:val="center"/>
              <w:rPr>
                <w:color w:val="000000"/>
                <w:kern w:val="0"/>
                <w:szCs w:val="21"/>
              </w:rPr>
            </w:pPr>
            <w:r>
              <w:rPr>
                <w:color w:val="000000"/>
                <w:kern w:val="0"/>
                <w:szCs w:val="21"/>
              </w:rPr>
              <w:t>34.1</w:t>
            </w:r>
          </w:p>
        </w:tc>
        <w:tc>
          <w:tcPr>
            <w:tcW w:w="846" w:type="dxa"/>
            <w:vAlign w:val="center"/>
          </w:tcPr>
          <w:p>
            <w:pPr>
              <w:widowControl/>
              <w:jc w:val="center"/>
              <w:rPr>
                <w:color w:val="000000"/>
                <w:kern w:val="0"/>
                <w:szCs w:val="21"/>
              </w:rPr>
            </w:pPr>
            <w:r>
              <w:rPr>
                <w:color w:val="000000"/>
                <w:kern w:val="0"/>
                <w:szCs w:val="21"/>
              </w:rPr>
              <w:t>26.8</w:t>
            </w:r>
          </w:p>
        </w:tc>
        <w:tc>
          <w:tcPr>
            <w:tcW w:w="695" w:type="dxa"/>
            <w:vAlign w:val="center"/>
          </w:tcPr>
          <w:p>
            <w:pPr>
              <w:widowControl/>
              <w:jc w:val="center"/>
              <w:rPr>
                <w:color w:val="000000"/>
                <w:kern w:val="0"/>
                <w:szCs w:val="21"/>
              </w:rPr>
            </w:pPr>
            <w:r>
              <w:rPr>
                <w:color w:val="000000"/>
                <w:kern w:val="0"/>
                <w:szCs w:val="21"/>
              </w:rPr>
              <w:t>2.4</w:t>
            </w:r>
          </w:p>
        </w:tc>
        <w:tc>
          <w:tcPr>
            <w:tcW w:w="636" w:type="dxa"/>
            <w:vAlign w:val="center"/>
          </w:tcPr>
          <w:p>
            <w:pPr>
              <w:widowControl/>
              <w:jc w:val="center"/>
              <w:rPr>
                <w:color w:val="000000"/>
                <w:kern w:val="0"/>
                <w:szCs w:val="21"/>
              </w:rPr>
            </w:pPr>
            <w:r>
              <w:rPr>
                <w:color w:val="000000"/>
                <w:kern w:val="0"/>
                <w:szCs w:val="21"/>
              </w:rPr>
              <w:t>0.0</w:t>
            </w:r>
          </w:p>
        </w:tc>
        <w:tc>
          <w:tcPr>
            <w:tcW w:w="1104" w:type="dxa"/>
            <w:vMerge w:val="restart"/>
            <w:shd w:val="clear" w:color="auto" w:fill="auto"/>
            <w:vAlign w:val="center"/>
          </w:tcPr>
          <w:p>
            <w:pPr>
              <w:jc w:val="center"/>
              <w:rPr>
                <w:color w:val="000000"/>
                <w:kern w:val="0"/>
                <w:szCs w:val="21"/>
              </w:rPr>
            </w:pPr>
            <w:r>
              <w:rPr>
                <w:color w:val="000000"/>
                <w:kern w:val="0"/>
                <w:szCs w:val="21"/>
              </w:rPr>
              <w:t>F=2.94***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23</w:t>
            </w:r>
          </w:p>
        </w:tc>
        <w:tc>
          <w:tcPr>
            <w:tcW w:w="636" w:type="dxa"/>
            <w:shd w:val="clear" w:color="auto" w:fill="auto"/>
            <w:vAlign w:val="center"/>
          </w:tcPr>
          <w:p>
            <w:pPr>
              <w:widowControl/>
              <w:jc w:val="center"/>
              <w:rPr>
                <w:color w:val="000000"/>
                <w:kern w:val="0"/>
                <w:szCs w:val="21"/>
              </w:rPr>
            </w:pPr>
            <w:r>
              <w:rPr>
                <w:color w:val="000000"/>
                <w:kern w:val="0"/>
                <w:szCs w:val="21"/>
              </w:rPr>
              <w:t>3.70</w:t>
            </w:r>
          </w:p>
        </w:tc>
        <w:tc>
          <w:tcPr>
            <w:tcW w:w="846" w:type="dxa"/>
            <w:shd w:val="clear" w:color="auto" w:fill="auto"/>
            <w:vAlign w:val="center"/>
          </w:tcPr>
          <w:p>
            <w:pPr>
              <w:widowControl/>
              <w:jc w:val="center"/>
              <w:rPr>
                <w:color w:val="000000"/>
                <w:kern w:val="0"/>
                <w:szCs w:val="21"/>
              </w:rPr>
            </w:pPr>
            <w:r>
              <w:rPr>
                <w:color w:val="000000"/>
                <w:kern w:val="0"/>
                <w:szCs w:val="21"/>
              </w:rPr>
              <w:t>0.88</w:t>
            </w:r>
          </w:p>
        </w:tc>
        <w:tc>
          <w:tcPr>
            <w:tcW w:w="636" w:type="dxa"/>
            <w:vAlign w:val="center"/>
          </w:tcPr>
          <w:p>
            <w:pPr>
              <w:widowControl/>
              <w:jc w:val="center"/>
              <w:rPr>
                <w:color w:val="000000"/>
                <w:kern w:val="0"/>
                <w:szCs w:val="21"/>
              </w:rPr>
            </w:pPr>
            <w:r>
              <w:rPr>
                <w:color w:val="000000"/>
                <w:kern w:val="0"/>
                <w:szCs w:val="21"/>
              </w:rPr>
              <w:t>21.7</w:t>
            </w:r>
          </w:p>
        </w:tc>
        <w:tc>
          <w:tcPr>
            <w:tcW w:w="589" w:type="dxa"/>
            <w:vAlign w:val="center"/>
          </w:tcPr>
          <w:p>
            <w:pPr>
              <w:widowControl/>
              <w:jc w:val="center"/>
              <w:rPr>
                <w:color w:val="000000"/>
                <w:kern w:val="0"/>
                <w:szCs w:val="21"/>
              </w:rPr>
            </w:pPr>
            <w:r>
              <w:rPr>
                <w:color w:val="000000"/>
                <w:kern w:val="0"/>
                <w:szCs w:val="21"/>
              </w:rPr>
              <w:t>30.4</w:t>
            </w:r>
          </w:p>
        </w:tc>
        <w:tc>
          <w:tcPr>
            <w:tcW w:w="846" w:type="dxa"/>
            <w:vAlign w:val="center"/>
          </w:tcPr>
          <w:p>
            <w:pPr>
              <w:widowControl/>
              <w:jc w:val="center"/>
              <w:rPr>
                <w:color w:val="000000"/>
                <w:kern w:val="0"/>
                <w:szCs w:val="21"/>
              </w:rPr>
            </w:pPr>
            <w:r>
              <w:rPr>
                <w:color w:val="000000"/>
                <w:kern w:val="0"/>
                <w:szCs w:val="21"/>
              </w:rPr>
              <w:t>43.5</w:t>
            </w:r>
          </w:p>
        </w:tc>
        <w:tc>
          <w:tcPr>
            <w:tcW w:w="695" w:type="dxa"/>
            <w:vAlign w:val="center"/>
          </w:tcPr>
          <w:p>
            <w:pPr>
              <w:widowControl/>
              <w:jc w:val="center"/>
              <w:rPr>
                <w:color w:val="000000"/>
                <w:kern w:val="0"/>
                <w:szCs w:val="21"/>
              </w:rPr>
            </w:pPr>
            <w:r>
              <w:rPr>
                <w:color w:val="000000"/>
                <w:kern w:val="0"/>
                <w:szCs w:val="21"/>
              </w:rPr>
              <w:t>4.3</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3.31</w:t>
            </w:r>
          </w:p>
        </w:tc>
        <w:tc>
          <w:tcPr>
            <w:tcW w:w="846" w:type="dxa"/>
            <w:shd w:val="clear" w:color="auto" w:fill="auto"/>
            <w:vAlign w:val="center"/>
          </w:tcPr>
          <w:p>
            <w:pPr>
              <w:widowControl/>
              <w:jc w:val="center"/>
              <w:rPr>
                <w:color w:val="000000"/>
                <w:kern w:val="0"/>
                <w:szCs w:val="21"/>
              </w:rPr>
            </w:pPr>
            <w:r>
              <w:rPr>
                <w:color w:val="000000"/>
                <w:kern w:val="0"/>
                <w:szCs w:val="21"/>
              </w:rPr>
              <w:t>1.25</w:t>
            </w:r>
          </w:p>
        </w:tc>
        <w:tc>
          <w:tcPr>
            <w:tcW w:w="636" w:type="dxa"/>
            <w:vAlign w:val="center"/>
          </w:tcPr>
          <w:p>
            <w:pPr>
              <w:widowControl/>
              <w:jc w:val="center"/>
              <w:rPr>
                <w:color w:val="000000"/>
                <w:kern w:val="0"/>
                <w:szCs w:val="21"/>
              </w:rPr>
            </w:pPr>
            <w:r>
              <w:rPr>
                <w:color w:val="000000"/>
                <w:kern w:val="0"/>
                <w:szCs w:val="21"/>
              </w:rPr>
              <w:t>15.4</w:t>
            </w:r>
          </w:p>
        </w:tc>
        <w:tc>
          <w:tcPr>
            <w:tcW w:w="589" w:type="dxa"/>
            <w:vAlign w:val="center"/>
          </w:tcPr>
          <w:p>
            <w:pPr>
              <w:widowControl/>
              <w:jc w:val="center"/>
              <w:rPr>
                <w:color w:val="000000"/>
                <w:kern w:val="0"/>
                <w:szCs w:val="21"/>
              </w:rPr>
            </w:pPr>
            <w:r>
              <w:rPr>
                <w:color w:val="000000"/>
                <w:kern w:val="0"/>
                <w:szCs w:val="21"/>
              </w:rPr>
              <w:t>30.8</w:t>
            </w:r>
          </w:p>
        </w:tc>
        <w:tc>
          <w:tcPr>
            <w:tcW w:w="846" w:type="dxa"/>
            <w:vAlign w:val="center"/>
          </w:tcPr>
          <w:p>
            <w:pPr>
              <w:widowControl/>
              <w:jc w:val="center"/>
              <w:rPr>
                <w:color w:val="000000"/>
                <w:kern w:val="0"/>
                <w:szCs w:val="21"/>
              </w:rPr>
            </w:pPr>
            <w:r>
              <w:rPr>
                <w:color w:val="000000"/>
                <w:kern w:val="0"/>
                <w:szCs w:val="21"/>
              </w:rPr>
              <w:t>38.5</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15.4</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66.7</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3.60</w:t>
            </w:r>
          </w:p>
        </w:tc>
        <w:tc>
          <w:tcPr>
            <w:tcW w:w="846" w:type="dxa"/>
            <w:shd w:val="clear" w:color="auto" w:fill="auto"/>
            <w:vAlign w:val="center"/>
          </w:tcPr>
          <w:p>
            <w:pPr>
              <w:widowControl/>
              <w:jc w:val="center"/>
              <w:rPr>
                <w:color w:val="000000"/>
                <w:kern w:val="0"/>
                <w:szCs w:val="21"/>
              </w:rPr>
            </w:pPr>
            <w:r>
              <w:rPr>
                <w:color w:val="000000"/>
                <w:kern w:val="0"/>
                <w:szCs w:val="21"/>
              </w:rPr>
              <w:t>0.70</w:t>
            </w:r>
          </w:p>
        </w:tc>
        <w:tc>
          <w:tcPr>
            <w:tcW w:w="636" w:type="dxa"/>
            <w:vAlign w:val="center"/>
          </w:tcPr>
          <w:p>
            <w:pPr>
              <w:widowControl/>
              <w:jc w:val="center"/>
              <w:rPr>
                <w:color w:val="000000"/>
                <w:kern w:val="0"/>
                <w:szCs w:val="21"/>
              </w:rPr>
            </w:pPr>
            <w:r>
              <w:rPr>
                <w:color w:val="000000"/>
                <w:kern w:val="0"/>
                <w:szCs w:val="21"/>
              </w:rPr>
              <w:t>10.0</w:t>
            </w:r>
          </w:p>
        </w:tc>
        <w:tc>
          <w:tcPr>
            <w:tcW w:w="589"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50.0</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3.38</w:t>
            </w:r>
          </w:p>
        </w:tc>
        <w:tc>
          <w:tcPr>
            <w:tcW w:w="846" w:type="dxa"/>
            <w:shd w:val="clear" w:color="auto" w:fill="auto"/>
            <w:vAlign w:val="center"/>
          </w:tcPr>
          <w:p>
            <w:pPr>
              <w:widowControl/>
              <w:jc w:val="center"/>
              <w:rPr>
                <w:color w:val="000000"/>
                <w:kern w:val="0"/>
                <w:szCs w:val="21"/>
              </w:rPr>
            </w:pPr>
            <w:r>
              <w:rPr>
                <w:color w:val="000000"/>
                <w:kern w:val="0"/>
                <w:szCs w:val="21"/>
              </w:rPr>
              <w:t>0.74</w:t>
            </w:r>
          </w:p>
        </w:tc>
        <w:tc>
          <w:tcPr>
            <w:tcW w:w="636" w:type="dxa"/>
            <w:vAlign w:val="center"/>
          </w:tcPr>
          <w:p>
            <w:pPr>
              <w:widowControl/>
              <w:jc w:val="center"/>
              <w:rPr>
                <w:color w:val="000000"/>
                <w:kern w:val="0"/>
                <w:szCs w:val="21"/>
              </w:rPr>
            </w:pPr>
            <w:r>
              <w:rPr>
                <w:color w:val="000000"/>
                <w:kern w:val="0"/>
                <w:szCs w:val="21"/>
              </w:rPr>
              <w:t>12.5</w:t>
            </w:r>
          </w:p>
        </w:tc>
        <w:tc>
          <w:tcPr>
            <w:tcW w:w="589" w:type="dxa"/>
            <w:vAlign w:val="center"/>
          </w:tcPr>
          <w:p>
            <w:pPr>
              <w:widowControl/>
              <w:jc w:val="center"/>
              <w:rPr>
                <w:color w:val="000000"/>
                <w:kern w:val="0"/>
                <w:szCs w:val="21"/>
              </w:rPr>
            </w:pPr>
            <w:r>
              <w:rPr>
                <w:color w:val="000000"/>
                <w:kern w:val="0"/>
                <w:szCs w:val="21"/>
              </w:rPr>
              <w:t>12.5</w:t>
            </w:r>
          </w:p>
        </w:tc>
        <w:tc>
          <w:tcPr>
            <w:tcW w:w="846" w:type="dxa"/>
            <w:vAlign w:val="center"/>
          </w:tcPr>
          <w:p>
            <w:pPr>
              <w:widowControl/>
              <w:jc w:val="center"/>
              <w:rPr>
                <w:color w:val="000000"/>
                <w:kern w:val="0"/>
                <w:szCs w:val="21"/>
              </w:rPr>
            </w:pPr>
            <w:r>
              <w:rPr>
                <w:color w:val="000000"/>
                <w:kern w:val="0"/>
                <w:szCs w:val="21"/>
              </w:rPr>
              <w:t>75.0</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3.40</w:t>
            </w:r>
          </w:p>
        </w:tc>
        <w:tc>
          <w:tcPr>
            <w:tcW w:w="846" w:type="dxa"/>
            <w:shd w:val="clear" w:color="auto" w:fill="auto"/>
            <w:vAlign w:val="center"/>
          </w:tcPr>
          <w:p>
            <w:pPr>
              <w:widowControl/>
              <w:jc w:val="center"/>
              <w:rPr>
                <w:color w:val="000000"/>
                <w:kern w:val="0"/>
                <w:szCs w:val="21"/>
              </w:rPr>
            </w:pPr>
            <w:r>
              <w:rPr>
                <w:color w:val="000000"/>
                <w:kern w:val="0"/>
                <w:szCs w:val="21"/>
              </w:rPr>
              <w:t>0.89</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1.04</w:t>
            </w:r>
          </w:p>
        </w:tc>
        <w:tc>
          <w:tcPr>
            <w:tcW w:w="636" w:type="dxa"/>
            <w:vAlign w:val="center"/>
          </w:tcPr>
          <w:p>
            <w:pPr>
              <w:widowControl/>
              <w:jc w:val="center"/>
              <w:rPr>
                <w:color w:val="000000"/>
                <w:kern w:val="0"/>
                <w:szCs w:val="21"/>
              </w:rPr>
            </w:pPr>
            <w:r>
              <w:rPr>
                <w:color w:val="000000"/>
                <w:kern w:val="0"/>
                <w:szCs w:val="21"/>
              </w:rPr>
              <w:t>8.3</w:t>
            </w:r>
          </w:p>
        </w:tc>
        <w:tc>
          <w:tcPr>
            <w:tcW w:w="589"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41.7</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9</w:t>
            </w:r>
          </w:p>
        </w:tc>
        <w:tc>
          <w:tcPr>
            <w:tcW w:w="636" w:type="dxa"/>
            <w:shd w:val="clear" w:color="auto" w:fill="auto"/>
            <w:vAlign w:val="center"/>
          </w:tcPr>
          <w:p>
            <w:pPr>
              <w:widowControl/>
              <w:jc w:val="center"/>
              <w:rPr>
                <w:color w:val="000000"/>
                <w:kern w:val="0"/>
                <w:szCs w:val="21"/>
              </w:rPr>
            </w:pPr>
            <w:r>
              <w:rPr>
                <w:color w:val="000000"/>
                <w:kern w:val="0"/>
                <w:szCs w:val="21"/>
              </w:rPr>
              <w:t>3.22</w:t>
            </w:r>
          </w:p>
        </w:tc>
        <w:tc>
          <w:tcPr>
            <w:tcW w:w="846" w:type="dxa"/>
            <w:shd w:val="clear" w:color="auto" w:fill="auto"/>
            <w:vAlign w:val="center"/>
          </w:tcPr>
          <w:p>
            <w:pPr>
              <w:widowControl/>
              <w:jc w:val="center"/>
              <w:rPr>
                <w:color w:val="000000"/>
                <w:kern w:val="0"/>
                <w:szCs w:val="21"/>
              </w:rPr>
            </w:pPr>
            <w:r>
              <w:rPr>
                <w:color w:val="000000"/>
                <w:kern w:val="0"/>
                <w:szCs w:val="21"/>
              </w:rPr>
              <w:t>0.97</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44.4</w:t>
            </w:r>
          </w:p>
        </w:tc>
        <w:tc>
          <w:tcPr>
            <w:tcW w:w="846" w:type="dxa"/>
            <w:vAlign w:val="center"/>
          </w:tcPr>
          <w:p>
            <w:pPr>
              <w:widowControl/>
              <w:jc w:val="center"/>
              <w:rPr>
                <w:color w:val="000000"/>
                <w:kern w:val="0"/>
                <w:szCs w:val="21"/>
              </w:rPr>
            </w:pPr>
            <w:r>
              <w:rPr>
                <w:color w:val="000000"/>
                <w:kern w:val="0"/>
                <w:szCs w:val="21"/>
              </w:rPr>
              <w:t>44.4</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11.1</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3.55</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636" w:type="dxa"/>
            <w:vAlign w:val="center"/>
          </w:tcPr>
          <w:p>
            <w:pPr>
              <w:widowControl/>
              <w:jc w:val="center"/>
              <w:rPr>
                <w:color w:val="000000"/>
                <w:kern w:val="0"/>
                <w:szCs w:val="21"/>
              </w:rPr>
            </w:pPr>
            <w:r>
              <w:rPr>
                <w:color w:val="000000"/>
                <w:kern w:val="0"/>
                <w:szCs w:val="21"/>
              </w:rPr>
              <w:t>9.1</w:t>
            </w:r>
          </w:p>
        </w:tc>
        <w:tc>
          <w:tcPr>
            <w:tcW w:w="589" w:type="dxa"/>
            <w:vAlign w:val="center"/>
          </w:tcPr>
          <w:p>
            <w:pPr>
              <w:widowControl/>
              <w:jc w:val="center"/>
              <w:rPr>
                <w:color w:val="000000"/>
                <w:kern w:val="0"/>
                <w:szCs w:val="21"/>
              </w:rPr>
            </w:pPr>
            <w:r>
              <w:rPr>
                <w:color w:val="000000"/>
                <w:kern w:val="0"/>
                <w:szCs w:val="21"/>
              </w:rPr>
              <w:t>45.5</w:t>
            </w:r>
          </w:p>
        </w:tc>
        <w:tc>
          <w:tcPr>
            <w:tcW w:w="846" w:type="dxa"/>
            <w:vAlign w:val="center"/>
          </w:tcPr>
          <w:p>
            <w:pPr>
              <w:widowControl/>
              <w:jc w:val="center"/>
              <w:rPr>
                <w:color w:val="000000"/>
                <w:kern w:val="0"/>
                <w:szCs w:val="21"/>
              </w:rPr>
            </w:pPr>
            <w:r>
              <w:rPr>
                <w:color w:val="000000"/>
                <w:kern w:val="0"/>
                <w:szCs w:val="21"/>
              </w:rPr>
              <w:t>36.4</w:t>
            </w:r>
          </w:p>
        </w:tc>
        <w:tc>
          <w:tcPr>
            <w:tcW w:w="695" w:type="dxa"/>
            <w:vAlign w:val="center"/>
          </w:tcPr>
          <w:p>
            <w:pPr>
              <w:widowControl/>
              <w:jc w:val="center"/>
              <w:rPr>
                <w:color w:val="000000"/>
                <w:kern w:val="0"/>
                <w:szCs w:val="21"/>
              </w:rPr>
            </w:pPr>
            <w:r>
              <w:rPr>
                <w:color w:val="000000"/>
                <w:kern w:val="0"/>
                <w:szCs w:val="21"/>
              </w:rPr>
              <w:t>9.1</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3.16</w:t>
            </w:r>
          </w:p>
        </w:tc>
        <w:tc>
          <w:tcPr>
            <w:tcW w:w="846" w:type="dxa"/>
            <w:shd w:val="clear" w:color="auto" w:fill="auto"/>
            <w:vAlign w:val="center"/>
          </w:tcPr>
          <w:p>
            <w:pPr>
              <w:widowControl/>
              <w:jc w:val="center"/>
              <w:rPr>
                <w:color w:val="000000"/>
                <w:kern w:val="0"/>
                <w:szCs w:val="21"/>
              </w:rPr>
            </w:pPr>
            <w:r>
              <w:rPr>
                <w:color w:val="000000"/>
                <w:kern w:val="0"/>
                <w:szCs w:val="21"/>
              </w:rPr>
              <w:t>1.07</w:t>
            </w:r>
          </w:p>
        </w:tc>
        <w:tc>
          <w:tcPr>
            <w:tcW w:w="636" w:type="dxa"/>
            <w:vAlign w:val="center"/>
          </w:tcPr>
          <w:p>
            <w:pPr>
              <w:widowControl/>
              <w:jc w:val="center"/>
              <w:rPr>
                <w:color w:val="000000"/>
                <w:kern w:val="0"/>
                <w:szCs w:val="21"/>
              </w:rPr>
            </w:pPr>
            <w:r>
              <w:rPr>
                <w:color w:val="000000"/>
                <w:kern w:val="0"/>
                <w:szCs w:val="21"/>
              </w:rPr>
              <w:t>8.0</w:t>
            </w:r>
          </w:p>
        </w:tc>
        <w:tc>
          <w:tcPr>
            <w:tcW w:w="589" w:type="dxa"/>
            <w:vAlign w:val="center"/>
          </w:tcPr>
          <w:p>
            <w:pPr>
              <w:widowControl/>
              <w:jc w:val="center"/>
              <w:rPr>
                <w:color w:val="000000"/>
                <w:kern w:val="0"/>
                <w:szCs w:val="21"/>
              </w:rPr>
            </w:pPr>
            <w:r>
              <w:rPr>
                <w:color w:val="000000"/>
                <w:kern w:val="0"/>
                <w:szCs w:val="21"/>
              </w:rPr>
              <w:t>32.0</w:t>
            </w:r>
          </w:p>
        </w:tc>
        <w:tc>
          <w:tcPr>
            <w:tcW w:w="846" w:type="dxa"/>
            <w:vAlign w:val="center"/>
          </w:tcPr>
          <w:p>
            <w:pPr>
              <w:widowControl/>
              <w:jc w:val="center"/>
              <w:rPr>
                <w:color w:val="000000"/>
                <w:kern w:val="0"/>
                <w:szCs w:val="21"/>
              </w:rPr>
            </w:pPr>
            <w:r>
              <w:rPr>
                <w:color w:val="000000"/>
                <w:kern w:val="0"/>
                <w:szCs w:val="21"/>
              </w:rPr>
              <w:t>36.0</w:t>
            </w:r>
          </w:p>
        </w:tc>
        <w:tc>
          <w:tcPr>
            <w:tcW w:w="695" w:type="dxa"/>
            <w:vAlign w:val="center"/>
          </w:tcPr>
          <w:p>
            <w:pPr>
              <w:widowControl/>
              <w:jc w:val="center"/>
              <w:rPr>
                <w:color w:val="000000"/>
                <w:kern w:val="0"/>
                <w:szCs w:val="21"/>
              </w:rPr>
            </w:pPr>
            <w:r>
              <w:rPr>
                <w:color w:val="000000"/>
                <w:kern w:val="0"/>
                <w:szCs w:val="21"/>
              </w:rPr>
              <w:t>16.0</w:t>
            </w:r>
          </w:p>
        </w:tc>
        <w:tc>
          <w:tcPr>
            <w:tcW w:w="636" w:type="dxa"/>
            <w:vAlign w:val="center"/>
          </w:tcPr>
          <w:p>
            <w:pPr>
              <w:widowControl/>
              <w:jc w:val="center"/>
              <w:rPr>
                <w:color w:val="000000"/>
                <w:kern w:val="0"/>
                <w:szCs w:val="21"/>
              </w:rPr>
            </w:pPr>
            <w:r>
              <w:rPr>
                <w:color w:val="000000"/>
                <w:kern w:val="0"/>
                <w:szCs w:val="21"/>
              </w:rPr>
              <w:t>8.0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戏剧影视美术设计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2.00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25</w:t>
            </w:r>
          </w:p>
        </w:tc>
        <w:tc>
          <w:tcPr>
            <w:tcW w:w="636" w:type="dxa"/>
            <w:shd w:val="clear" w:color="auto" w:fill="auto"/>
            <w:vAlign w:val="center"/>
          </w:tcPr>
          <w:p>
            <w:pPr>
              <w:widowControl/>
              <w:jc w:val="center"/>
              <w:rPr>
                <w:color w:val="000000"/>
                <w:kern w:val="0"/>
                <w:szCs w:val="21"/>
              </w:rPr>
            </w:pPr>
            <w:r>
              <w:rPr>
                <w:color w:val="000000"/>
                <w:kern w:val="0"/>
                <w:szCs w:val="21"/>
              </w:rPr>
              <w:t>3.96</w:t>
            </w:r>
          </w:p>
        </w:tc>
        <w:tc>
          <w:tcPr>
            <w:tcW w:w="846" w:type="dxa"/>
            <w:shd w:val="clear" w:color="auto" w:fill="auto"/>
            <w:vAlign w:val="center"/>
          </w:tcPr>
          <w:p>
            <w:pPr>
              <w:widowControl/>
              <w:jc w:val="center"/>
              <w:rPr>
                <w:color w:val="000000"/>
                <w:kern w:val="0"/>
                <w:szCs w:val="21"/>
              </w:rPr>
            </w:pPr>
            <w:r>
              <w:rPr>
                <w:color w:val="000000"/>
                <w:kern w:val="0"/>
                <w:szCs w:val="21"/>
              </w:rPr>
              <w:t>0.84</w:t>
            </w:r>
          </w:p>
        </w:tc>
        <w:tc>
          <w:tcPr>
            <w:tcW w:w="636" w:type="dxa"/>
            <w:vAlign w:val="center"/>
          </w:tcPr>
          <w:p>
            <w:pPr>
              <w:widowControl/>
              <w:jc w:val="center"/>
              <w:rPr>
                <w:color w:val="000000"/>
                <w:kern w:val="0"/>
                <w:szCs w:val="21"/>
              </w:rPr>
            </w:pPr>
            <w:r>
              <w:rPr>
                <w:color w:val="000000"/>
                <w:kern w:val="0"/>
                <w:szCs w:val="21"/>
              </w:rPr>
              <w:t>28.0</w:t>
            </w:r>
          </w:p>
        </w:tc>
        <w:tc>
          <w:tcPr>
            <w:tcW w:w="589" w:type="dxa"/>
            <w:vAlign w:val="center"/>
          </w:tcPr>
          <w:p>
            <w:pPr>
              <w:widowControl/>
              <w:jc w:val="center"/>
              <w:rPr>
                <w:color w:val="000000"/>
                <w:kern w:val="0"/>
                <w:szCs w:val="21"/>
              </w:rPr>
            </w:pPr>
            <w:r>
              <w:rPr>
                <w:color w:val="000000"/>
                <w:kern w:val="0"/>
                <w:szCs w:val="21"/>
              </w:rPr>
              <w:t>44.0</w:t>
            </w:r>
          </w:p>
        </w:tc>
        <w:tc>
          <w:tcPr>
            <w:tcW w:w="846" w:type="dxa"/>
            <w:vAlign w:val="center"/>
          </w:tcPr>
          <w:p>
            <w:pPr>
              <w:widowControl/>
              <w:jc w:val="center"/>
              <w:rPr>
                <w:color w:val="000000"/>
                <w:kern w:val="0"/>
                <w:szCs w:val="21"/>
              </w:rPr>
            </w:pPr>
            <w:r>
              <w:rPr>
                <w:color w:val="000000"/>
                <w:kern w:val="0"/>
                <w:szCs w:val="21"/>
              </w:rPr>
              <w:t>24.0</w:t>
            </w:r>
          </w:p>
        </w:tc>
        <w:tc>
          <w:tcPr>
            <w:tcW w:w="695" w:type="dxa"/>
            <w:vAlign w:val="center"/>
          </w:tcPr>
          <w:p>
            <w:pPr>
              <w:widowControl/>
              <w:jc w:val="center"/>
              <w:rPr>
                <w:color w:val="000000"/>
                <w:kern w:val="0"/>
                <w:szCs w:val="21"/>
              </w:rPr>
            </w:pPr>
            <w:r>
              <w:rPr>
                <w:color w:val="000000"/>
                <w:kern w:val="0"/>
                <w:szCs w:val="21"/>
              </w:rPr>
              <w:t>4.0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4.15</w:t>
            </w:r>
          </w:p>
        </w:tc>
        <w:tc>
          <w:tcPr>
            <w:tcW w:w="846" w:type="dxa"/>
            <w:shd w:val="clear" w:color="auto" w:fill="auto"/>
            <w:vAlign w:val="center"/>
          </w:tcPr>
          <w:p>
            <w:pPr>
              <w:widowControl/>
              <w:jc w:val="center"/>
              <w:rPr>
                <w:color w:val="000000"/>
                <w:kern w:val="0"/>
                <w:szCs w:val="21"/>
              </w:rPr>
            </w:pPr>
            <w:r>
              <w:rPr>
                <w:color w:val="000000"/>
                <w:kern w:val="0"/>
                <w:szCs w:val="21"/>
              </w:rPr>
              <w:t>0.55</w:t>
            </w:r>
          </w:p>
        </w:tc>
        <w:tc>
          <w:tcPr>
            <w:tcW w:w="636" w:type="dxa"/>
            <w:vAlign w:val="center"/>
          </w:tcPr>
          <w:p>
            <w:pPr>
              <w:widowControl/>
              <w:jc w:val="center"/>
              <w:rPr>
                <w:color w:val="000000"/>
                <w:kern w:val="0"/>
                <w:szCs w:val="21"/>
              </w:rPr>
            </w:pPr>
            <w:r>
              <w:rPr>
                <w:color w:val="000000"/>
                <w:kern w:val="0"/>
                <w:szCs w:val="21"/>
              </w:rPr>
              <w:t>23.1</w:t>
            </w:r>
          </w:p>
        </w:tc>
        <w:tc>
          <w:tcPr>
            <w:tcW w:w="589" w:type="dxa"/>
            <w:vAlign w:val="center"/>
          </w:tcPr>
          <w:p>
            <w:pPr>
              <w:widowControl/>
              <w:jc w:val="center"/>
              <w:rPr>
                <w:color w:val="000000"/>
                <w:kern w:val="0"/>
                <w:szCs w:val="21"/>
              </w:rPr>
            </w:pPr>
            <w:r>
              <w:rPr>
                <w:color w:val="000000"/>
                <w:kern w:val="0"/>
                <w:szCs w:val="21"/>
              </w:rPr>
              <w:t>69.2</w:t>
            </w:r>
          </w:p>
        </w:tc>
        <w:tc>
          <w:tcPr>
            <w:tcW w:w="846" w:type="dxa"/>
            <w:vAlign w:val="center"/>
          </w:tcPr>
          <w:p>
            <w:pPr>
              <w:widowControl/>
              <w:jc w:val="center"/>
              <w:rPr>
                <w:color w:val="000000"/>
                <w:kern w:val="0"/>
                <w:szCs w:val="21"/>
              </w:rPr>
            </w:pPr>
            <w:r>
              <w:rPr>
                <w:color w:val="000000"/>
                <w:kern w:val="0"/>
                <w:szCs w:val="21"/>
              </w:rPr>
              <w:t>7.7</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89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27</w:t>
            </w:r>
          </w:p>
        </w:tc>
        <w:tc>
          <w:tcPr>
            <w:tcW w:w="636" w:type="dxa"/>
            <w:shd w:val="clear" w:color="auto" w:fill="auto"/>
            <w:vAlign w:val="center"/>
          </w:tcPr>
          <w:p>
            <w:pPr>
              <w:widowControl/>
              <w:jc w:val="center"/>
              <w:rPr>
                <w:color w:val="000000"/>
                <w:kern w:val="0"/>
                <w:szCs w:val="21"/>
              </w:rPr>
            </w:pPr>
            <w:r>
              <w:rPr>
                <w:color w:val="000000"/>
                <w:kern w:val="0"/>
                <w:szCs w:val="21"/>
              </w:rPr>
              <w:t>3.89</w:t>
            </w:r>
          </w:p>
        </w:tc>
        <w:tc>
          <w:tcPr>
            <w:tcW w:w="846" w:type="dxa"/>
            <w:shd w:val="clear" w:color="auto" w:fill="auto"/>
            <w:vAlign w:val="center"/>
          </w:tcPr>
          <w:p>
            <w:pPr>
              <w:widowControl/>
              <w:jc w:val="center"/>
              <w:rPr>
                <w:color w:val="000000"/>
                <w:kern w:val="0"/>
                <w:szCs w:val="21"/>
              </w:rPr>
            </w:pPr>
            <w:r>
              <w:rPr>
                <w:color w:val="000000"/>
                <w:kern w:val="0"/>
                <w:szCs w:val="21"/>
              </w:rPr>
              <w:t>0.70</w:t>
            </w:r>
          </w:p>
        </w:tc>
        <w:tc>
          <w:tcPr>
            <w:tcW w:w="636" w:type="dxa"/>
            <w:vAlign w:val="center"/>
          </w:tcPr>
          <w:p>
            <w:pPr>
              <w:widowControl/>
              <w:jc w:val="center"/>
              <w:rPr>
                <w:color w:val="000000"/>
                <w:kern w:val="0"/>
                <w:szCs w:val="21"/>
              </w:rPr>
            </w:pPr>
            <w:r>
              <w:rPr>
                <w:color w:val="000000"/>
                <w:kern w:val="0"/>
                <w:szCs w:val="21"/>
              </w:rPr>
              <w:t>18.5</w:t>
            </w:r>
          </w:p>
        </w:tc>
        <w:tc>
          <w:tcPr>
            <w:tcW w:w="589" w:type="dxa"/>
            <w:vAlign w:val="center"/>
          </w:tcPr>
          <w:p>
            <w:pPr>
              <w:widowControl/>
              <w:jc w:val="center"/>
              <w:rPr>
                <w:color w:val="000000"/>
                <w:kern w:val="0"/>
                <w:szCs w:val="21"/>
              </w:rPr>
            </w:pPr>
            <w:r>
              <w:rPr>
                <w:color w:val="000000"/>
                <w:kern w:val="0"/>
                <w:szCs w:val="21"/>
              </w:rPr>
              <w:t>51.9</w:t>
            </w:r>
          </w:p>
        </w:tc>
        <w:tc>
          <w:tcPr>
            <w:tcW w:w="846" w:type="dxa"/>
            <w:vAlign w:val="center"/>
          </w:tcPr>
          <w:p>
            <w:pPr>
              <w:widowControl/>
              <w:jc w:val="center"/>
              <w:rPr>
                <w:color w:val="000000"/>
                <w:kern w:val="0"/>
                <w:szCs w:val="21"/>
              </w:rPr>
            </w:pPr>
            <w:r>
              <w:rPr>
                <w:color w:val="000000"/>
                <w:kern w:val="0"/>
                <w:szCs w:val="21"/>
              </w:rPr>
              <w:t>29.6</w:t>
            </w:r>
          </w:p>
        </w:tc>
        <w:tc>
          <w:tcPr>
            <w:tcW w:w="695"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104"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53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226</w:t>
            </w:r>
          </w:p>
        </w:tc>
        <w:tc>
          <w:tcPr>
            <w:tcW w:w="636" w:type="dxa"/>
            <w:shd w:val="clear" w:color="auto" w:fill="auto"/>
            <w:vAlign w:val="center"/>
          </w:tcPr>
          <w:p>
            <w:pPr>
              <w:widowControl/>
              <w:jc w:val="center"/>
              <w:rPr>
                <w:color w:val="000000"/>
                <w:kern w:val="0"/>
                <w:szCs w:val="21"/>
              </w:rPr>
            </w:pPr>
            <w:r>
              <w:rPr>
                <w:color w:val="000000"/>
                <w:kern w:val="0"/>
                <w:szCs w:val="21"/>
              </w:rPr>
              <w:t>3.66</w:t>
            </w:r>
          </w:p>
        </w:tc>
        <w:tc>
          <w:tcPr>
            <w:tcW w:w="846" w:type="dxa"/>
            <w:shd w:val="clear" w:color="auto" w:fill="auto"/>
            <w:vAlign w:val="center"/>
          </w:tcPr>
          <w:p>
            <w:pPr>
              <w:widowControl/>
              <w:jc w:val="center"/>
              <w:rPr>
                <w:color w:val="000000"/>
                <w:kern w:val="0"/>
                <w:szCs w:val="21"/>
              </w:rPr>
            </w:pPr>
            <w:r>
              <w:rPr>
                <w:color w:val="000000"/>
                <w:kern w:val="0"/>
                <w:szCs w:val="21"/>
              </w:rPr>
              <w:t>0.94</w:t>
            </w:r>
          </w:p>
        </w:tc>
        <w:tc>
          <w:tcPr>
            <w:tcW w:w="636" w:type="dxa"/>
            <w:vAlign w:val="center"/>
          </w:tcPr>
          <w:p>
            <w:pPr>
              <w:widowControl/>
              <w:jc w:val="center"/>
              <w:rPr>
                <w:color w:val="000000"/>
                <w:kern w:val="0"/>
                <w:szCs w:val="21"/>
              </w:rPr>
            </w:pPr>
            <w:r>
              <w:rPr>
                <w:color w:val="000000"/>
                <w:kern w:val="0"/>
                <w:szCs w:val="21"/>
              </w:rPr>
              <w:t>19.0</w:t>
            </w:r>
          </w:p>
        </w:tc>
        <w:tc>
          <w:tcPr>
            <w:tcW w:w="589" w:type="dxa"/>
            <w:vAlign w:val="center"/>
          </w:tcPr>
          <w:p>
            <w:pPr>
              <w:widowControl/>
              <w:jc w:val="center"/>
              <w:rPr>
                <w:color w:val="000000"/>
                <w:kern w:val="0"/>
                <w:szCs w:val="21"/>
              </w:rPr>
            </w:pPr>
            <w:r>
              <w:rPr>
                <w:color w:val="000000"/>
                <w:kern w:val="0"/>
                <w:szCs w:val="21"/>
              </w:rPr>
              <w:t>38.9</w:t>
            </w:r>
          </w:p>
        </w:tc>
        <w:tc>
          <w:tcPr>
            <w:tcW w:w="846" w:type="dxa"/>
            <w:vAlign w:val="center"/>
          </w:tcPr>
          <w:p>
            <w:pPr>
              <w:widowControl/>
              <w:jc w:val="center"/>
              <w:rPr>
                <w:color w:val="000000"/>
                <w:kern w:val="0"/>
                <w:szCs w:val="21"/>
              </w:rPr>
            </w:pPr>
            <w:r>
              <w:rPr>
                <w:color w:val="000000"/>
                <w:kern w:val="0"/>
                <w:szCs w:val="21"/>
              </w:rPr>
              <w:t>33.2</w:t>
            </w:r>
          </w:p>
        </w:tc>
        <w:tc>
          <w:tcPr>
            <w:tcW w:w="695" w:type="dxa"/>
            <w:vAlign w:val="center"/>
          </w:tcPr>
          <w:p>
            <w:pPr>
              <w:widowControl/>
              <w:jc w:val="center"/>
              <w:rPr>
                <w:color w:val="000000"/>
                <w:kern w:val="0"/>
                <w:szCs w:val="21"/>
              </w:rPr>
            </w:pPr>
            <w:r>
              <w:rPr>
                <w:color w:val="000000"/>
                <w:kern w:val="0"/>
                <w:szCs w:val="21"/>
              </w:rPr>
              <w:t>6.6</w:t>
            </w:r>
          </w:p>
        </w:tc>
        <w:tc>
          <w:tcPr>
            <w:tcW w:w="636" w:type="dxa"/>
            <w:vAlign w:val="center"/>
          </w:tcPr>
          <w:p>
            <w:pPr>
              <w:widowControl/>
              <w:jc w:val="center"/>
              <w:rPr>
                <w:color w:val="000000"/>
                <w:kern w:val="0"/>
                <w:szCs w:val="21"/>
              </w:rPr>
            </w:pPr>
            <w:r>
              <w:rPr>
                <w:color w:val="000000"/>
                <w:kern w:val="0"/>
                <w:szCs w:val="21"/>
              </w:rPr>
              <w:t>2.2</w:t>
            </w:r>
          </w:p>
        </w:tc>
        <w:tc>
          <w:tcPr>
            <w:tcW w:w="1104" w:type="dxa"/>
            <w:shd w:val="clear" w:color="auto" w:fill="auto"/>
            <w:vAlign w:val="center"/>
          </w:tcPr>
          <w:p>
            <w:pPr>
              <w:widowControl/>
              <w:jc w:val="center"/>
              <w:rPr>
                <w:color w:val="000000"/>
                <w:kern w:val="0"/>
                <w:szCs w:val="21"/>
              </w:rPr>
            </w:pPr>
          </w:p>
        </w:tc>
      </w:tr>
    </w:tbl>
    <w:p>
      <w:r>
        <w:rPr>
          <w:rFonts w:hint="eastAsia"/>
          <w:sz w:val="20"/>
          <w:szCs w:val="20"/>
        </w:rPr>
        <w:t>注：得分5=很高，4=高，3=不好说，2=低，1=很低</w:t>
      </w:r>
    </w:p>
    <w:p>
      <w:pPr>
        <w:pStyle w:val="67"/>
      </w:pPr>
      <w:bookmarkStart w:id="118" w:name="_Toc470167388"/>
      <w:r>
        <w:rPr>
          <w:rFonts w:hint="eastAsia"/>
        </w:rPr>
        <w:t>3、对就业教育及服务的评价</w:t>
      </w:r>
      <w:bookmarkEnd w:id="118"/>
    </w:p>
    <w:p>
      <w:pPr>
        <w:pStyle w:val="70"/>
      </w:pPr>
      <w:bookmarkStart w:id="119" w:name="PO_3313"/>
      <w:bookmarkEnd w:id="119"/>
      <w:r>
        <w:rPr>
          <w:rFonts w:hint="eastAsia"/>
        </w:rPr>
        <w:t>（1）参与情况</w:t>
      </w:r>
    </w:p>
    <w:p>
      <w:pPr>
        <w:pStyle w:val="37"/>
        <w:ind w:firstLine="480"/>
      </w:pPr>
      <w:r>
        <w:rPr>
          <w:rFonts w:hint="eastAsia"/>
        </w:rPr>
        <w:t>对于学校的就业教育及服务，参与比例最高的前三项依次为就业指导课程（96.0%），就业信息服务（86.3%），就业实习/实践（80.1%）。</w:t>
      </w:r>
    </w:p>
    <w:p>
      <w:pPr>
        <w:jc w:val="center"/>
      </w:pPr>
      <w:r>
        <w:rPr>
          <w:rFonts w:hint="eastAsia"/>
        </w:rPr>
        <w:drawing>
          <wp:inline distT="0" distB="0" distL="0" distR="0">
            <wp:extent cx="5274310" cy="8372475"/>
            <wp:effectExtent l="19050" t="0" r="21590" b="0"/>
            <wp:docPr id="38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59"/>
        <w:spacing w:before="156" w:after="312"/>
      </w:pPr>
      <w:r>
        <w:rPr>
          <w:rFonts w:hint="eastAsia"/>
        </w:rPr>
        <w:t>本科生就业教育及服务的参与情况</w:t>
      </w:r>
    </w:p>
    <w:p>
      <w:pPr>
        <w:pStyle w:val="70"/>
      </w:pPr>
      <w:r>
        <w:rPr>
          <w:rFonts w:hint="eastAsia"/>
        </w:rPr>
        <w:t>（2）满意程度</w:t>
      </w:r>
    </w:p>
    <w:p>
      <w:pPr>
        <w:pStyle w:val="37"/>
        <w:ind w:firstLine="480"/>
      </w:pPr>
      <w:r>
        <w:rPr>
          <w:rFonts w:hint="eastAsia"/>
        </w:rPr>
        <w:t>本科生向我们反馈了他们参与学校提供的就业教育和服务的情况，并对参与过的教育和服务项目进行了满意度评价。满意度最高的前三项依次为：困难帮扶（4.68），个体职业辅导（4.63），团体职业辅导（4.59）。</w:t>
      </w:r>
    </w:p>
    <w:p>
      <w:pPr>
        <w:jc w:val="center"/>
      </w:pPr>
      <w:r>
        <w:rPr>
          <w:rFonts w:hint="eastAsia"/>
        </w:rPr>
        <w:drawing>
          <wp:inline distT="0" distB="0" distL="0" distR="0">
            <wp:extent cx="5791200" cy="8305800"/>
            <wp:effectExtent l="19050" t="0" r="19050" b="0"/>
            <wp:docPr id="3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59"/>
        <w:spacing w:before="156" w:after="312"/>
      </w:pPr>
      <w:r>
        <w:rPr>
          <w:rFonts w:hint="eastAsia"/>
        </w:rPr>
        <w:t>本科生就业教育及服务的满意度</w:t>
      </w:r>
    </w:p>
    <w:p>
      <w:pPr>
        <w:pStyle w:val="53"/>
        <w:spacing w:before="312" w:after="156"/>
      </w:pPr>
      <w:r>
        <w:rPr>
          <w:rFonts w:hint="eastAsia"/>
        </w:rPr>
        <w:t>本科生就业教育及服务的参与情况及满意度评价</w:t>
      </w:r>
    </w:p>
    <w:tbl>
      <w:tblPr>
        <w:tblStyle w:val="33"/>
        <w:tblW w:w="10944" w:type="dxa"/>
        <w:jc w:val="center"/>
        <w:tblInd w:w="0" w:type="dxa"/>
        <w:tblLayout w:type="fixed"/>
        <w:tblCellMar>
          <w:top w:w="0" w:type="dxa"/>
          <w:left w:w="108" w:type="dxa"/>
          <w:bottom w:w="0" w:type="dxa"/>
          <w:right w:w="108" w:type="dxa"/>
        </w:tblCellMar>
      </w:tblPr>
      <w:tblGrid>
        <w:gridCol w:w="2882"/>
        <w:gridCol w:w="531"/>
        <w:gridCol w:w="869"/>
        <w:gridCol w:w="1134"/>
        <w:gridCol w:w="554"/>
        <w:gridCol w:w="584"/>
        <w:gridCol w:w="709"/>
        <w:gridCol w:w="819"/>
        <w:gridCol w:w="584"/>
        <w:gridCol w:w="806"/>
        <w:gridCol w:w="709"/>
        <w:gridCol w:w="763"/>
      </w:tblGrid>
      <w:tr>
        <w:tblPrEx>
          <w:tblLayout w:type="fixed"/>
          <w:tblCellMar>
            <w:top w:w="0" w:type="dxa"/>
            <w:left w:w="108" w:type="dxa"/>
            <w:bottom w:w="0" w:type="dxa"/>
            <w:right w:w="108" w:type="dxa"/>
          </w:tblCellMar>
        </w:tblPrEx>
        <w:trPr>
          <w:trHeight w:val="270" w:hRule="atLeast"/>
          <w:jc w:val="center"/>
        </w:trPr>
        <w:tc>
          <w:tcPr>
            <w:tcW w:w="2882"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531"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200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81"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882"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531" w:type="dxa"/>
            <w:vMerge w:val="continue"/>
            <w:tcBorders>
              <w:left w:val="dotted" w:color="00B050" w:sz="8" w:space="0"/>
              <w:bottom w:val="single" w:color="00B050" w:sz="8" w:space="0"/>
              <w:right w:val="dotted" w:color="00B050" w:sz="8" w:space="0"/>
            </w:tcBorders>
            <w:vAlign w:val="center"/>
          </w:tcPr>
          <w:p>
            <w:pPr>
              <w:pStyle w:val="52"/>
              <w:jc w:val="center"/>
            </w:pP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不满意</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很不满意</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校园招聘会/宣讲会</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65.9</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34.1</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149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4.30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0.80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47.0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40.9</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7.4</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就业信息服务</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86.3</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13.7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195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48.7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39.5</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1.0</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职业测评</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30.1</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69.9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0.72</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63.8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26.1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1.4</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就业指导课程</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96.0</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4.16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0.99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46.5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32.7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13.4</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5.1</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2.3</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就业指导讲座、工作坊与活动</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70.4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29.6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0.86</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52.8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32.7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1.3</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团体职业辅导</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33.2</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66.8</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0.62</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32.0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个体职业辅导</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23.0</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77.0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69.2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困难帮扶</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18.6</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81.4</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68.2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31.8</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学校就业推荐</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50.9</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49.1</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0.86</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55.8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34.2</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1.7</w:t>
            </w:r>
          </w:p>
        </w:tc>
      </w:tr>
      <w:tr>
        <w:tblPrEx>
          <w:tblLayout w:type="fixed"/>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学院就业推荐</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47.3</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52.7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0.72</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59.6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33.9</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0.9</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0.9</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就业实习/实践</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80.1</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19.9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4.45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53.8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39.0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1.1</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0.5</w:t>
            </w:r>
          </w:p>
        </w:tc>
      </w:tr>
      <w:tr>
        <w:tblPrEx>
          <w:tblLayout w:type="fixed"/>
          <w:tblCellMar>
            <w:top w:w="0" w:type="dxa"/>
            <w:left w:w="108" w:type="dxa"/>
            <w:bottom w:w="0" w:type="dxa"/>
            <w:right w:w="108" w:type="dxa"/>
          </w:tblCellMar>
        </w:tblPrEx>
        <w:trPr>
          <w:trHeight w:val="270" w:hRule="atLeast"/>
          <w:jc w:val="center"/>
        </w:trPr>
        <w:tc>
          <w:tcPr>
            <w:tcW w:w="288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就业相关政策咨询</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61.5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38.5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141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4.45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53.9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39.0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r>
        <w:rPr>
          <w:rFonts w:hint="eastAsia"/>
          <w:sz w:val="20"/>
          <w:szCs w:val="20"/>
        </w:rPr>
        <w:t>注：得分5=很满意，4=满意，3=不好说，2=不满意，1=很不满意</w:t>
      </w:r>
    </w:p>
    <w:p>
      <w:pPr>
        <w:pStyle w:val="52"/>
        <w:ind w:firstLine="480"/>
      </w:pPr>
    </w:p>
    <w:p>
      <w:pPr>
        <w:pStyle w:val="67"/>
      </w:pPr>
      <w:bookmarkStart w:id="120" w:name="_Toc470167389"/>
      <w:r>
        <w:rPr>
          <w:rFonts w:hint="eastAsia"/>
        </w:rPr>
        <w:t>4、对创业教育及服务的评价</w:t>
      </w:r>
      <w:bookmarkEnd w:id="120"/>
    </w:p>
    <w:p>
      <w:pPr>
        <w:pStyle w:val="70"/>
      </w:pPr>
      <w:bookmarkStart w:id="121" w:name="PO_3314"/>
      <w:bookmarkEnd w:id="121"/>
      <w:r>
        <w:rPr>
          <w:rFonts w:hint="eastAsia"/>
        </w:rPr>
        <w:t>（1）参与情况</w:t>
      </w:r>
    </w:p>
    <w:p>
      <w:pPr>
        <w:pStyle w:val="37"/>
        <w:ind w:firstLine="480"/>
      </w:pPr>
      <w:r>
        <w:rPr>
          <w:rFonts w:hint="eastAsia"/>
        </w:rPr>
        <w:t>对于学校的创业教育及服务，参与比例最高的前三项依次为创业相关讲座（58.8%），创业课程（50.0%），与创业者交流（31.0%）。</w:t>
      </w:r>
    </w:p>
    <w:p>
      <w:pPr>
        <w:jc w:val="center"/>
      </w:pPr>
      <w:r>
        <w:rPr>
          <w:rFonts w:hint="eastAsia"/>
        </w:rPr>
        <w:drawing>
          <wp:inline distT="0" distB="0" distL="0" distR="0">
            <wp:extent cx="6076950" cy="3077210"/>
            <wp:effectExtent l="19050" t="0" r="19050" b="8890"/>
            <wp:docPr id="39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59"/>
        <w:spacing w:before="156" w:after="312"/>
      </w:pPr>
      <w:r>
        <w:rPr>
          <w:rFonts w:hint="eastAsia"/>
        </w:rPr>
        <w:t>本科生创业教育及服务的参与情况</w:t>
      </w:r>
    </w:p>
    <w:p>
      <w:pPr>
        <w:pStyle w:val="70"/>
      </w:pPr>
      <w:r>
        <w:rPr>
          <w:rFonts w:hint="eastAsia"/>
        </w:rPr>
        <w:t>（2）满意程度</w:t>
      </w:r>
    </w:p>
    <w:p>
      <w:pPr>
        <w:pStyle w:val="37"/>
        <w:ind w:firstLine="480"/>
      </w:pPr>
      <w:r>
        <w:rPr>
          <w:rFonts w:hint="eastAsia"/>
        </w:rPr>
        <w:t>本科生针对他们参与过的创业教育和服务项目进行了满意度评价。满意度最高的前三项依次为：参观创业企业（4.71），创业计划大赛（4.64），参与创业企业的实习项目（4.60）、创业类学生社团活动（4.60）。</w:t>
      </w:r>
    </w:p>
    <w:p>
      <w:pPr>
        <w:jc w:val="center"/>
      </w:pPr>
      <w:r>
        <w:rPr>
          <w:rFonts w:hint="eastAsia"/>
        </w:rPr>
        <w:drawing>
          <wp:inline distT="0" distB="0" distL="0" distR="0">
            <wp:extent cx="6124575" cy="3077210"/>
            <wp:effectExtent l="19050" t="0" r="9525" b="8890"/>
            <wp:docPr id="39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59"/>
        <w:spacing w:before="156" w:after="312"/>
      </w:pPr>
      <w:r>
        <w:rPr>
          <w:rFonts w:hint="eastAsia"/>
        </w:rPr>
        <w:t>本科生创业教育及服务的满意度</w:t>
      </w:r>
    </w:p>
    <w:p>
      <w:pPr>
        <w:pStyle w:val="53"/>
        <w:spacing w:before="312" w:after="156"/>
      </w:pPr>
      <w:r>
        <w:rPr>
          <w:rFonts w:hint="eastAsia"/>
        </w:rPr>
        <w:t>本科生创业教育及服务活动中的参与情况及满意程度</w:t>
      </w:r>
    </w:p>
    <w:tbl>
      <w:tblPr>
        <w:tblStyle w:val="33"/>
        <w:tblW w:w="10731" w:type="dxa"/>
        <w:jc w:val="center"/>
        <w:tblInd w:w="0" w:type="dxa"/>
        <w:tblLayout w:type="fixed"/>
        <w:tblCellMar>
          <w:top w:w="0" w:type="dxa"/>
          <w:left w:w="108" w:type="dxa"/>
          <w:bottom w:w="0" w:type="dxa"/>
          <w:right w:w="108" w:type="dxa"/>
        </w:tblCellMar>
      </w:tblPr>
      <w:tblGrid>
        <w:gridCol w:w="2669"/>
        <w:gridCol w:w="531"/>
        <w:gridCol w:w="869"/>
        <w:gridCol w:w="1134"/>
        <w:gridCol w:w="554"/>
        <w:gridCol w:w="584"/>
        <w:gridCol w:w="709"/>
        <w:gridCol w:w="819"/>
        <w:gridCol w:w="584"/>
        <w:gridCol w:w="806"/>
        <w:gridCol w:w="709"/>
        <w:gridCol w:w="763"/>
      </w:tblGrid>
      <w:tr>
        <w:tblPrEx>
          <w:tblLayout w:type="fixed"/>
          <w:tblCellMar>
            <w:top w:w="0" w:type="dxa"/>
            <w:left w:w="108" w:type="dxa"/>
            <w:bottom w:w="0" w:type="dxa"/>
            <w:right w:w="108" w:type="dxa"/>
          </w:tblCellMar>
        </w:tblPrEx>
        <w:trPr>
          <w:trHeight w:val="270" w:hRule="atLeast"/>
          <w:jc w:val="center"/>
        </w:trPr>
        <w:tc>
          <w:tcPr>
            <w:tcW w:w="2669"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531"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200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81"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669"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531" w:type="dxa"/>
            <w:vMerge w:val="continue"/>
            <w:tcBorders>
              <w:left w:val="dotted" w:color="00B050" w:sz="8" w:space="0"/>
              <w:bottom w:val="single" w:color="00B050" w:sz="8" w:space="0"/>
              <w:right w:val="dotted" w:color="00B050" w:sz="8" w:space="0"/>
            </w:tcBorders>
            <w:vAlign w:val="center"/>
          </w:tcPr>
          <w:p>
            <w:pPr>
              <w:pStyle w:val="52"/>
              <w:jc w:val="center"/>
            </w:pP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不满意</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很不满意</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创业课程</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50.0</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50.0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115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4.42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0.81</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53.9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39.1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2.6</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创业相关讲座</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58.8</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41.2</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4.28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0.85</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47.8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38.1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10.4</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2.2</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1.5</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创业类学生社团活动</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24.3</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75.7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0.78</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70.9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23.6</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1.8</w:t>
            </w:r>
          </w:p>
        </w:tc>
      </w:tr>
      <w:tr>
        <w:tblPrEx>
          <w:tblLayout w:type="fixed"/>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创业计划大赛</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12.4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87.6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4.64</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0.73</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75.0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17.9</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3.6</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参观创业企业</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15.5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84.5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4.71</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77.1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17.1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与创业者交流</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31.0</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69.0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0.69</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67.1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669"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参与创业企业的实习项目</w:t>
            </w:r>
          </w:p>
        </w:tc>
        <w:tc>
          <w:tcPr>
            <w:tcW w:w="531"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226</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20.8</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79.2</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72.3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19.1</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r>
        <w:rPr>
          <w:rFonts w:hint="eastAsia"/>
          <w:sz w:val="20"/>
          <w:szCs w:val="20"/>
        </w:rPr>
        <w:t>注：得分5=很满意，4=满意，3=不好说，2=不满意，1=很不满意</w:t>
      </w:r>
    </w:p>
    <w:p>
      <w:pPr>
        <w:pStyle w:val="52"/>
        <w:ind w:firstLine="480"/>
      </w:pPr>
    </w:p>
    <w:p>
      <w:pPr>
        <w:pStyle w:val="67"/>
      </w:pPr>
      <w:bookmarkStart w:id="122" w:name="_Toc470167390"/>
      <w:r>
        <w:rPr>
          <w:rFonts w:hint="eastAsia"/>
        </w:rPr>
        <w:t>5、创业计划情况</w:t>
      </w:r>
      <w:bookmarkEnd w:id="122"/>
    </w:p>
    <w:p>
      <w:pPr>
        <w:pStyle w:val="37"/>
        <w:ind w:firstLine="480"/>
      </w:pPr>
      <w:bookmarkStart w:id="123" w:name="PO_3315"/>
      <w:bookmarkEnd w:id="123"/>
      <w:r>
        <w:rPr>
          <w:rFonts w:hint="eastAsia"/>
        </w:rPr>
        <w:t>对于本科生的创业计划，14.1%的本科生表示在上学期间已经开始创业，其中有3.5%的本科生表示会在毕业后停止创业，而10.6%则表示会在创业路上继续前进。</w:t>
      </w:r>
    </w:p>
    <w:p>
      <w:pPr>
        <w:pStyle w:val="37"/>
        <w:ind w:firstLine="480"/>
      </w:pPr>
      <w:r>
        <w:rPr>
          <w:rFonts w:hint="eastAsia"/>
        </w:rPr>
        <w:t>在上学期间没有创业的本科生中，4.9%的本科生表示会在毕业后马上开始创业，34.1%表示不会创业，46.9%打算工作积累一段时间再创业（平均时间3.58年）。</w:t>
      </w:r>
    </w:p>
    <w:p>
      <w:pPr>
        <w:jc w:val="center"/>
      </w:pPr>
      <w:r>
        <w:rPr>
          <w:rFonts w:hint="eastAsia"/>
        </w:rPr>
        <w:drawing>
          <wp:inline distT="0" distB="0" distL="0" distR="0">
            <wp:extent cx="6076950" cy="3077210"/>
            <wp:effectExtent l="19050" t="0" r="19050" b="8890"/>
            <wp:docPr id="39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59"/>
        <w:spacing w:before="156" w:after="312"/>
      </w:pPr>
      <w:r>
        <w:rPr>
          <w:rFonts w:hint="eastAsia"/>
        </w:rPr>
        <w:t>本科生创业计划情况</w:t>
      </w:r>
    </w:p>
    <w:p>
      <w:pPr>
        <w:pStyle w:val="53"/>
        <w:spacing w:before="312" w:after="156"/>
      </w:pPr>
      <w:r>
        <w:rPr>
          <w:rFonts w:hint="eastAsia"/>
        </w:rPr>
        <w:t>本科生创业计划情况</w:t>
      </w:r>
    </w:p>
    <w:tbl>
      <w:tblPr>
        <w:tblStyle w:val="33"/>
        <w:tblW w:w="5531"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4416"/>
        <w:gridCol w:w="531"/>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4416" w:type="dxa"/>
            <w:shd w:val="clear" w:color="auto" w:fill="auto"/>
            <w:vAlign w:val="center"/>
          </w:tcPr>
          <w:p>
            <w:pPr>
              <w:pStyle w:val="52"/>
              <w:ind w:firstLine="480"/>
              <w:jc w:val="center"/>
              <w:rPr>
                <w:kern w:val="0"/>
              </w:rPr>
            </w:pPr>
          </w:p>
        </w:tc>
        <w:tc>
          <w:tcPr>
            <w:tcW w:w="531"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上学期间未创业，毕业后也不打算创业</w:t>
            </w:r>
          </w:p>
        </w:tc>
        <w:tc>
          <w:tcPr>
            <w:tcW w:w="531" w:type="dxa"/>
            <w:shd w:val="clear" w:color="auto" w:fill="auto"/>
            <w:vAlign w:val="center"/>
          </w:tcPr>
          <w:p>
            <w:pPr>
              <w:pStyle w:val="52"/>
              <w:jc w:val="center"/>
              <w:rPr>
                <w:kern w:val="0"/>
              </w:rPr>
            </w:pPr>
            <w:r>
              <w:rPr>
                <w:kern w:val="0"/>
              </w:rPr>
              <w:t>77</w:t>
            </w:r>
          </w:p>
        </w:tc>
        <w:tc>
          <w:tcPr>
            <w:tcW w:w="584" w:type="dxa"/>
            <w:shd w:val="clear" w:color="auto" w:fill="auto"/>
            <w:vAlign w:val="center"/>
          </w:tcPr>
          <w:p>
            <w:pPr>
              <w:pStyle w:val="52"/>
              <w:jc w:val="center"/>
              <w:rPr>
                <w:kern w:val="0"/>
              </w:rPr>
            </w:pPr>
            <w:r>
              <w:rPr>
                <w:kern w:val="0"/>
              </w:rPr>
              <w:t>34.1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上学期间未创业，毕业后打算马上创业</w:t>
            </w:r>
          </w:p>
        </w:tc>
        <w:tc>
          <w:tcPr>
            <w:tcW w:w="531" w:type="dxa"/>
            <w:shd w:val="clear" w:color="auto" w:fill="auto"/>
            <w:vAlign w:val="center"/>
          </w:tcPr>
          <w:p>
            <w:pPr>
              <w:pStyle w:val="52"/>
              <w:jc w:val="center"/>
              <w:rPr>
                <w:kern w:val="0"/>
              </w:rPr>
            </w:pPr>
            <w:r>
              <w:rPr>
                <w:kern w:val="0"/>
              </w:rPr>
              <w:t>11</w:t>
            </w:r>
          </w:p>
        </w:tc>
        <w:tc>
          <w:tcPr>
            <w:tcW w:w="584" w:type="dxa"/>
            <w:shd w:val="clear" w:color="auto" w:fill="auto"/>
            <w:vAlign w:val="center"/>
          </w:tcPr>
          <w:p>
            <w:pPr>
              <w:pStyle w:val="52"/>
              <w:jc w:val="center"/>
              <w:rPr>
                <w:kern w:val="0"/>
              </w:rPr>
            </w:pPr>
            <w:r>
              <w:rPr>
                <w:kern w:val="0"/>
              </w:rPr>
              <w:t>4.9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上学期间未创业，毕业后打算工作几年再创业</w:t>
            </w:r>
          </w:p>
        </w:tc>
        <w:tc>
          <w:tcPr>
            <w:tcW w:w="531" w:type="dxa"/>
            <w:shd w:val="clear" w:color="auto" w:fill="auto"/>
            <w:vAlign w:val="center"/>
          </w:tcPr>
          <w:p>
            <w:pPr>
              <w:pStyle w:val="52"/>
              <w:jc w:val="center"/>
              <w:rPr>
                <w:kern w:val="0"/>
              </w:rPr>
            </w:pPr>
            <w:r>
              <w:rPr>
                <w:kern w:val="0"/>
              </w:rPr>
              <w:t>106</w:t>
            </w:r>
          </w:p>
        </w:tc>
        <w:tc>
          <w:tcPr>
            <w:tcW w:w="584" w:type="dxa"/>
            <w:shd w:val="clear" w:color="auto" w:fill="auto"/>
            <w:vAlign w:val="center"/>
          </w:tcPr>
          <w:p>
            <w:pPr>
              <w:pStyle w:val="52"/>
              <w:jc w:val="center"/>
              <w:rPr>
                <w:kern w:val="0"/>
              </w:rPr>
            </w:pPr>
            <w:r>
              <w:rPr>
                <w:kern w:val="0"/>
              </w:rPr>
              <w:t>46.9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上学期间创业了，毕业后打算继续创业</w:t>
            </w:r>
          </w:p>
        </w:tc>
        <w:tc>
          <w:tcPr>
            <w:tcW w:w="531" w:type="dxa"/>
            <w:shd w:val="clear" w:color="auto" w:fill="auto"/>
            <w:vAlign w:val="center"/>
          </w:tcPr>
          <w:p>
            <w:pPr>
              <w:pStyle w:val="52"/>
              <w:jc w:val="center"/>
              <w:rPr>
                <w:kern w:val="0"/>
              </w:rPr>
            </w:pPr>
            <w:r>
              <w:rPr>
                <w:kern w:val="0"/>
              </w:rPr>
              <w:t>24</w:t>
            </w:r>
          </w:p>
        </w:tc>
        <w:tc>
          <w:tcPr>
            <w:tcW w:w="584" w:type="dxa"/>
            <w:shd w:val="clear" w:color="auto" w:fill="auto"/>
            <w:vAlign w:val="center"/>
          </w:tcPr>
          <w:p>
            <w:pPr>
              <w:pStyle w:val="52"/>
              <w:jc w:val="center"/>
              <w:rPr>
                <w:kern w:val="0"/>
              </w:rPr>
            </w:pPr>
            <w:r>
              <w:rPr>
                <w:kern w:val="0"/>
              </w:rPr>
              <w:t>10.6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4416" w:type="dxa"/>
            <w:shd w:val="clear" w:color="auto" w:fill="auto"/>
            <w:vAlign w:val="center"/>
          </w:tcPr>
          <w:p>
            <w:pPr>
              <w:pStyle w:val="52"/>
              <w:rPr>
                <w:kern w:val="0"/>
              </w:rPr>
            </w:pPr>
            <w:r>
              <w:rPr>
                <w:rFonts w:hint="eastAsia"/>
                <w:kern w:val="0"/>
              </w:rPr>
              <w:t>上学期间创业了，毕业后打算暂停创业</w:t>
            </w:r>
          </w:p>
        </w:tc>
        <w:tc>
          <w:tcPr>
            <w:tcW w:w="531"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3.5</w:t>
            </w:r>
          </w:p>
        </w:tc>
      </w:tr>
    </w:tbl>
    <w:p>
      <w:pPr>
        <w:pStyle w:val="37"/>
        <w:ind w:firstLine="0" w:firstLineChars="0"/>
      </w:pPr>
    </w:p>
    <w:p>
      <w:pPr>
        <w:pStyle w:val="67"/>
      </w:pPr>
      <w:bookmarkStart w:id="124" w:name="_Toc470167391"/>
      <w:r>
        <w:rPr>
          <w:rFonts w:hint="eastAsia"/>
        </w:rPr>
        <w:t>6、创业教育的收获</w:t>
      </w:r>
      <w:bookmarkEnd w:id="124"/>
    </w:p>
    <w:p>
      <w:pPr>
        <w:pStyle w:val="37"/>
        <w:ind w:firstLine="480"/>
      </w:pPr>
      <w:bookmarkStart w:id="125" w:name="PO_3316"/>
      <w:bookmarkEnd w:id="125"/>
      <w:r>
        <w:rPr>
          <w:rFonts w:hint="eastAsia"/>
        </w:rPr>
        <w:t>对于创业教育的收获，本科生认为最主要的收获是了解了什么是大学生创业（32.3%），其次是了解了相关创业政策（27.9%）；11.1%的人表示在接受创业教育后没有什么收获。</w:t>
      </w:r>
    </w:p>
    <w:p>
      <w:pPr>
        <w:jc w:val="center"/>
      </w:pPr>
      <w:r>
        <w:rPr>
          <w:rFonts w:hint="eastAsia"/>
        </w:rPr>
        <w:drawing>
          <wp:inline distT="0" distB="0" distL="0" distR="0">
            <wp:extent cx="6076950" cy="3077210"/>
            <wp:effectExtent l="19050" t="0" r="19050" b="8890"/>
            <wp:docPr id="39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59"/>
        <w:spacing w:before="156" w:after="312"/>
      </w:pPr>
      <w:r>
        <w:rPr>
          <w:rFonts w:hint="eastAsia"/>
        </w:rPr>
        <w:t>本科生创业教育的收获</w:t>
      </w:r>
    </w:p>
    <w:p>
      <w:pPr>
        <w:pStyle w:val="53"/>
        <w:spacing w:before="312" w:after="156"/>
      </w:pPr>
      <w:r>
        <w:rPr>
          <w:rFonts w:hint="eastAsia"/>
        </w:rPr>
        <w:t>本科生创业教育的收获</w:t>
      </w:r>
    </w:p>
    <w:tbl>
      <w:tblPr>
        <w:tblStyle w:val="33"/>
        <w:tblW w:w="353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52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52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了解了什么是大学生创业</w:t>
            </w:r>
          </w:p>
        </w:tc>
        <w:tc>
          <w:tcPr>
            <w:tcW w:w="426" w:type="dxa"/>
            <w:shd w:val="clear" w:color="auto" w:fill="auto"/>
            <w:vAlign w:val="center"/>
          </w:tcPr>
          <w:p>
            <w:pPr>
              <w:pStyle w:val="52"/>
              <w:jc w:val="center"/>
              <w:rPr>
                <w:kern w:val="0"/>
              </w:rPr>
            </w:pPr>
            <w:r>
              <w:rPr>
                <w:kern w:val="0"/>
              </w:rPr>
              <w:t>73</w:t>
            </w:r>
          </w:p>
        </w:tc>
        <w:tc>
          <w:tcPr>
            <w:tcW w:w="584" w:type="dxa"/>
            <w:shd w:val="clear" w:color="auto" w:fill="auto"/>
            <w:vAlign w:val="center"/>
          </w:tcPr>
          <w:p>
            <w:pPr>
              <w:pStyle w:val="52"/>
              <w:jc w:val="center"/>
              <w:rPr>
                <w:kern w:val="0"/>
              </w:rPr>
            </w:pPr>
            <w:r>
              <w:rPr>
                <w:kern w:val="0"/>
              </w:rPr>
              <w:t>32.3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启发了我的创业意识</w:t>
            </w:r>
          </w:p>
        </w:tc>
        <w:tc>
          <w:tcPr>
            <w:tcW w:w="426" w:type="dxa"/>
            <w:shd w:val="clear" w:color="auto" w:fill="auto"/>
            <w:vAlign w:val="center"/>
          </w:tcPr>
          <w:p>
            <w:pPr>
              <w:pStyle w:val="52"/>
              <w:jc w:val="center"/>
              <w:rPr>
                <w:kern w:val="0"/>
              </w:rPr>
            </w:pPr>
            <w:r>
              <w:rPr>
                <w:kern w:val="0"/>
              </w:rPr>
              <w:t>41</w:t>
            </w:r>
          </w:p>
        </w:tc>
        <w:tc>
          <w:tcPr>
            <w:tcW w:w="584" w:type="dxa"/>
            <w:shd w:val="clear" w:color="auto" w:fill="auto"/>
            <w:vAlign w:val="center"/>
          </w:tcPr>
          <w:p>
            <w:pPr>
              <w:pStyle w:val="52"/>
              <w:jc w:val="center"/>
              <w:rPr>
                <w:kern w:val="0"/>
              </w:rPr>
            </w:pPr>
            <w:r>
              <w:rPr>
                <w:kern w:val="0"/>
              </w:rPr>
              <w:t>18.1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激发了我的创业热情</w:t>
            </w:r>
          </w:p>
        </w:tc>
        <w:tc>
          <w:tcPr>
            <w:tcW w:w="426" w:type="dxa"/>
            <w:shd w:val="clear" w:color="auto" w:fill="auto"/>
            <w:vAlign w:val="center"/>
          </w:tcPr>
          <w:p>
            <w:pPr>
              <w:pStyle w:val="52"/>
              <w:jc w:val="center"/>
              <w:rPr>
                <w:kern w:val="0"/>
              </w:rPr>
            </w:pPr>
            <w:r>
              <w:rPr>
                <w:kern w:val="0"/>
              </w:rPr>
              <w:t>15</w:t>
            </w:r>
          </w:p>
        </w:tc>
        <w:tc>
          <w:tcPr>
            <w:tcW w:w="584" w:type="dxa"/>
            <w:shd w:val="clear" w:color="auto" w:fill="auto"/>
            <w:vAlign w:val="center"/>
          </w:tcPr>
          <w:p>
            <w:pPr>
              <w:pStyle w:val="52"/>
              <w:jc w:val="center"/>
              <w:rPr>
                <w:kern w:val="0"/>
              </w:rPr>
            </w:pPr>
            <w:r>
              <w:rPr>
                <w:kern w:val="0"/>
              </w:rPr>
              <w:t>6.6</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明确了我的创业计划</w:t>
            </w:r>
          </w:p>
        </w:tc>
        <w:tc>
          <w:tcPr>
            <w:tcW w:w="426"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4.0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526" w:type="dxa"/>
            <w:shd w:val="clear" w:color="auto" w:fill="auto"/>
            <w:vAlign w:val="center"/>
          </w:tcPr>
          <w:p>
            <w:pPr>
              <w:pStyle w:val="52"/>
              <w:rPr>
                <w:kern w:val="0"/>
              </w:rPr>
            </w:pPr>
            <w:r>
              <w:rPr>
                <w:rFonts w:hint="eastAsia"/>
                <w:kern w:val="0"/>
              </w:rPr>
              <w:t>了解了相关创业政策</w:t>
            </w:r>
          </w:p>
        </w:tc>
        <w:tc>
          <w:tcPr>
            <w:tcW w:w="426" w:type="dxa"/>
            <w:shd w:val="clear" w:color="auto" w:fill="auto"/>
            <w:vAlign w:val="center"/>
          </w:tcPr>
          <w:p>
            <w:pPr>
              <w:pStyle w:val="52"/>
              <w:jc w:val="center"/>
              <w:rPr>
                <w:kern w:val="0"/>
              </w:rPr>
            </w:pPr>
            <w:r>
              <w:rPr>
                <w:kern w:val="0"/>
              </w:rPr>
              <w:t>63</w:t>
            </w:r>
          </w:p>
        </w:tc>
        <w:tc>
          <w:tcPr>
            <w:tcW w:w="584" w:type="dxa"/>
            <w:shd w:val="clear" w:color="auto" w:fill="auto"/>
            <w:vAlign w:val="center"/>
          </w:tcPr>
          <w:p>
            <w:pPr>
              <w:pStyle w:val="52"/>
              <w:jc w:val="center"/>
              <w:rPr>
                <w:kern w:val="0"/>
              </w:rPr>
            </w:pPr>
            <w:r>
              <w:rPr>
                <w:kern w:val="0"/>
              </w:rPr>
              <w:t>27.9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没有任何收获</w:t>
            </w:r>
          </w:p>
        </w:tc>
        <w:tc>
          <w:tcPr>
            <w:tcW w:w="426" w:type="dxa"/>
            <w:shd w:val="clear" w:color="auto" w:fill="auto"/>
            <w:vAlign w:val="center"/>
          </w:tcPr>
          <w:p>
            <w:pPr>
              <w:pStyle w:val="52"/>
              <w:jc w:val="center"/>
              <w:rPr>
                <w:kern w:val="0"/>
              </w:rPr>
            </w:pPr>
            <w:r>
              <w:rPr>
                <w:kern w:val="0"/>
              </w:rPr>
              <w:t>25</w:t>
            </w:r>
          </w:p>
        </w:tc>
        <w:tc>
          <w:tcPr>
            <w:tcW w:w="584" w:type="dxa"/>
            <w:shd w:val="clear" w:color="auto" w:fill="auto"/>
            <w:vAlign w:val="center"/>
          </w:tcPr>
          <w:p>
            <w:pPr>
              <w:pStyle w:val="52"/>
              <w:jc w:val="center"/>
              <w:rPr>
                <w:kern w:val="0"/>
              </w:rPr>
            </w:pPr>
            <w:r>
              <w:rPr>
                <w:kern w:val="0"/>
              </w:rPr>
              <w:t>11.1</w:t>
            </w:r>
          </w:p>
        </w:tc>
      </w:tr>
    </w:tbl>
    <w:p>
      <w:pPr>
        <w:pStyle w:val="37"/>
        <w:ind w:firstLine="0" w:firstLineChars="0"/>
      </w:pPr>
    </w:p>
    <w:p>
      <w:pPr>
        <w:pStyle w:val="44"/>
        <w:spacing w:before="156"/>
      </w:pPr>
      <w:bookmarkStart w:id="126" w:name="_Toc470167392"/>
      <w:r>
        <w:rPr>
          <w:rFonts w:hint="eastAsia"/>
        </w:rPr>
        <w:t>（二）本科生就业结果</w:t>
      </w:r>
      <w:bookmarkEnd w:id="126"/>
    </w:p>
    <w:p>
      <w:pPr>
        <w:pStyle w:val="67"/>
      </w:pPr>
      <w:bookmarkStart w:id="127" w:name="_Toc470167393"/>
      <w:r>
        <w:rPr>
          <w:rFonts w:hint="eastAsia"/>
        </w:rPr>
        <w:t>1、就业满意度</w:t>
      </w:r>
      <w:bookmarkEnd w:id="127"/>
    </w:p>
    <w:p>
      <w:pPr>
        <w:pStyle w:val="70"/>
      </w:pPr>
      <w:bookmarkStart w:id="128" w:name="PO_3326"/>
      <w:bookmarkEnd w:id="128"/>
      <w:r>
        <w:rPr>
          <w:rFonts w:hint="eastAsia"/>
        </w:rPr>
        <w:t>（1）总体情况</w:t>
      </w:r>
    </w:p>
    <w:p>
      <w:pPr>
        <w:pStyle w:val="37"/>
        <w:ind w:firstLine="480"/>
      </w:pPr>
      <w:r>
        <w:rPr>
          <w:rFonts w:hint="eastAsia"/>
        </w:rPr>
        <w:t>在就业满意度调查方面，72.1%的本科生表示“很满意”或“满意”，23.3%认为“不好说”，4.7%则表示“不满意”或“很不满意”。</w:t>
      </w:r>
    </w:p>
    <w:p>
      <w:pPr>
        <w:jc w:val="center"/>
      </w:pPr>
      <w:r>
        <w:rPr>
          <w:rFonts w:hint="eastAsia"/>
        </w:rPr>
        <w:drawing>
          <wp:inline distT="0" distB="0" distL="0" distR="0">
            <wp:extent cx="6076950" cy="3077210"/>
            <wp:effectExtent l="19050" t="0" r="19050" b="8890"/>
            <wp:docPr id="39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59"/>
        <w:spacing w:before="156" w:after="312"/>
      </w:pPr>
      <w:r>
        <w:rPr>
          <w:rFonts w:hint="eastAsia"/>
        </w:rPr>
        <w:t>本科生就业满意度</w:t>
      </w:r>
    </w:p>
    <w:p>
      <w:pPr>
        <w:pStyle w:val="70"/>
      </w:pPr>
      <w:r>
        <w:rPr>
          <w:rFonts w:hint="eastAsia"/>
        </w:rPr>
        <w:t>（2）不同专业本科生就业满意度</w:t>
      </w:r>
    </w:p>
    <w:p>
      <w:pPr>
        <w:pStyle w:val="37"/>
        <w:ind w:firstLine="480"/>
      </w:pPr>
      <w:r>
        <w:rPr>
          <w:rFonts w:hint="eastAsia"/>
        </w:rPr>
        <w:t>就专业而言，方差检验显示，不同专业的本科生对目前工作的满意度存在差异（F=2.17，p&lt;0.05）。导演专业就业满意度最高，舞台灯光、舞台设计专业就业满意度最低。</w:t>
      </w:r>
    </w:p>
    <w:p>
      <w:pPr>
        <w:jc w:val="center"/>
      </w:pPr>
      <w:r>
        <w:rPr>
          <w:rFonts w:hint="eastAsia"/>
        </w:rPr>
        <w:drawing>
          <wp:inline distT="0" distB="0" distL="0" distR="0">
            <wp:extent cx="6124575" cy="3609975"/>
            <wp:effectExtent l="0" t="0" r="0" b="0"/>
            <wp:docPr id="39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59"/>
        <w:spacing w:before="156" w:after="312"/>
      </w:pPr>
      <w:r>
        <w:rPr>
          <w:rFonts w:hint="eastAsia"/>
        </w:rPr>
        <w:t>不同专业本科生就业满意度</w:t>
      </w:r>
    </w:p>
    <w:p>
      <w:pPr>
        <w:pStyle w:val="53"/>
        <w:spacing w:before="312" w:after="156"/>
      </w:pPr>
      <w:r>
        <w:rPr>
          <w:rFonts w:hint="eastAsia"/>
        </w:rPr>
        <w:t>本科生就业满意度</w:t>
      </w:r>
    </w:p>
    <w:tbl>
      <w:tblPr>
        <w:tblStyle w:val="33"/>
        <w:tblW w:w="920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846"/>
        <w:gridCol w:w="636"/>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30"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34</w:t>
            </w:r>
          </w:p>
        </w:tc>
        <w:tc>
          <w:tcPr>
            <w:tcW w:w="636" w:type="dxa"/>
            <w:shd w:val="clear" w:color="auto" w:fill="auto"/>
            <w:vAlign w:val="center"/>
          </w:tcPr>
          <w:p>
            <w:pPr>
              <w:widowControl/>
              <w:jc w:val="center"/>
              <w:rPr>
                <w:color w:val="000000"/>
                <w:kern w:val="0"/>
                <w:szCs w:val="21"/>
              </w:rPr>
            </w:pPr>
            <w:r>
              <w:rPr>
                <w:color w:val="000000"/>
                <w:kern w:val="0"/>
                <w:szCs w:val="21"/>
              </w:rPr>
              <w:t>4.18</w:t>
            </w:r>
          </w:p>
        </w:tc>
        <w:tc>
          <w:tcPr>
            <w:tcW w:w="846" w:type="dxa"/>
            <w:shd w:val="clear" w:color="auto" w:fill="auto"/>
            <w:vAlign w:val="center"/>
          </w:tcPr>
          <w:p>
            <w:pPr>
              <w:widowControl/>
              <w:jc w:val="center"/>
              <w:rPr>
                <w:color w:val="000000"/>
                <w:kern w:val="0"/>
                <w:szCs w:val="21"/>
              </w:rPr>
            </w:pPr>
            <w:r>
              <w:rPr>
                <w:color w:val="000000"/>
                <w:kern w:val="0"/>
                <w:szCs w:val="21"/>
              </w:rPr>
              <w:t>0.76</w:t>
            </w:r>
          </w:p>
        </w:tc>
        <w:tc>
          <w:tcPr>
            <w:tcW w:w="846" w:type="dxa"/>
            <w:vAlign w:val="center"/>
          </w:tcPr>
          <w:p>
            <w:pPr>
              <w:widowControl/>
              <w:jc w:val="center"/>
              <w:rPr>
                <w:color w:val="000000"/>
                <w:kern w:val="0"/>
                <w:szCs w:val="21"/>
              </w:rPr>
            </w:pPr>
            <w:r>
              <w:rPr>
                <w:color w:val="000000"/>
                <w:kern w:val="0"/>
                <w:szCs w:val="21"/>
              </w:rPr>
              <w:t>38.2</w:t>
            </w:r>
          </w:p>
        </w:tc>
        <w:tc>
          <w:tcPr>
            <w:tcW w:w="636" w:type="dxa"/>
            <w:vAlign w:val="center"/>
          </w:tcPr>
          <w:p>
            <w:pPr>
              <w:widowControl/>
              <w:jc w:val="center"/>
              <w:rPr>
                <w:color w:val="000000"/>
                <w:kern w:val="0"/>
                <w:szCs w:val="21"/>
              </w:rPr>
            </w:pPr>
            <w:r>
              <w:rPr>
                <w:color w:val="000000"/>
                <w:kern w:val="0"/>
                <w:szCs w:val="21"/>
              </w:rPr>
              <w:t>41.2</w:t>
            </w:r>
          </w:p>
        </w:tc>
        <w:tc>
          <w:tcPr>
            <w:tcW w:w="846" w:type="dxa"/>
            <w:vAlign w:val="center"/>
          </w:tcPr>
          <w:p>
            <w:pPr>
              <w:widowControl/>
              <w:jc w:val="center"/>
              <w:rPr>
                <w:color w:val="000000"/>
                <w:kern w:val="0"/>
                <w:szCs w:val="21"/>
              </w:rPr>
            </w:pPr>
            <w:r>
              <w:rPr>
                <w:color w:val="000000"/>
                <w:kern w:val="0"/>
                <w:szCs w:val="21"/>
              </w:rPr>
              <w:t>20.6</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F=2.17*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4.15</w:t>
            </w:r>
          </w:p>
        </w:tc>
        <w:tc>
          <w:tcPr>
            <w:tcW w:w="846" w:type="dxa"/>
            <w:shd w:val="clear" w:color="auto" w:fill="auto"/>
            <w:vAlign w:val="center"/>
          </w:tcPr>
          <w:p>
            <w:pPr>
              <w:widowControl/>
              <w:jc w:val="center"/>
              <w:rPr>
                <w:color w:val="000000"/>
                <w:kern w:val="0"/>
                <w:szCs w:val="21"/>
              </w:rPr>
            </w:pPr>
            <w:r>
              <w:rPr>
                <w:color w:val="000000"/>
                <w:kern w:val="0"/>
                <w:szCs w:val="21"/>
              </w:rPr>
              <w:t>0.80</w:t>
            </w:r>
          </w:p>
        </w:tc>
        <w:tc>
          <w:tcPr>
            <w:tcW w:w="846" w:type="dxa"/>
            <w:vAlign w:val="center"/>
          </w:tcPr>
          <w:p>
            <w:pPr>
              <w:widowControl/>
              <w:jc w:val="center"/>
              <w:rPr>
                <w:color w:val="000000"/>
                <w:kern w:val="0"/>
                <w:szCs w:val="21"/>
              </w:rPr>
            </w:pPr>
            <w:r>
              <w:rPr>
                <w:color w:val="000000"/>
                <w:kern w:val="0"/>
                <w:szCs w:val="21"/>
              </w:rPr>
              <w:t>38.5</w:t>
            </w:r>
          </w:p>
        </w:tc>
        <w:tc>
          <w:tcPr>
            <w:tcW w:w="636"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1.73</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33.3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3.25</w:t>
            </w:r>
          </w:p>
        </w:tc>
        <w:tc>
          <w:tcPr>
            <w:tcW w:w="846" w:type="dxa"/>
            <w:shd w:val="clear" w:color="auto" w:fill="auto"/>
            <w:vAlign w:val="center"/>
          </w:tcPr>
          <w:p>
            <w:pPr>
              <w:widowControl/>
              <w:jc w:val="center"/>
              <w:rPr>
                <w:color w:val="000000"/>
                <w:kern w:val="0"/>
                <w:szCs w:val="21"/>
              </w:rPr>
            </w:pPr>
            <w:r>
              <w:rPr>
                <w:color w:val="000000"/>
                <w:kern w:val="0"/>
                <w:szCs w:val="21"/>
              </w:rPr>
              <w:t>0.50</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3.14</w:t>
            </w:r>
          </w:p>
        </w:tc>
        <w:tc>
          <w:tcPr>
            <w:tcW w:w="846" w:type="dxa"/>
            <w:shd w:val="clear" w:color="auto" w:fill="auto"/>
            <w:vAlign w:val="center"/>
          </w:tcPr>
          <w:p>
            <w:pPr>
              <w:widowControl/>
              <w:jc w:val="center"/>
              <w:rPr>
                <w:color w:val="000000"/>
                <w:kern w:val="0"/>
                <w:szCs w:val="21"/>
              </w:rPr>
            </w:pPr>
            <w:r>
              <w:rPr>
                <w:color w:val="000000"/>
                <w:kern w:val="0"/>
                <w:szCs w:val="21"/>
              </w:rPr>
              <w:t>0.69</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57.1</w:t>
            </w:r>
          </w:p>
        </w:tc>
        <w:tc>
          <w:tcPr>
            <w:tcW w:w="846" w:type="dxa"/>
            <w:vAlign w:val="center"/>
          </w:tcPr>
          <w:p>
            <w:pPr>
              <w:widowControl/>
              <w:jc w:val="center"/>
              <w:rPr>
                <w:color w:val="000000"/>
                <w:kern w:val="0"/>
                <w:szCs w:val="21"/>
              </w:rPr>
            </w:pPr>
            <w:r>
              <w:rPr>
                <w:color w:val="000000"/>
                <w:kern w:val="0"/>
                <w:szCs w:val="21"/>
              </w:rPr>
              <w:t>14.3</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0.92</w:t>
            </w:r>
          </w:p>
        </w:tc>
        <w:tc>
          <w:tcPr>
            <w:tcW w:w="846"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10.0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3.58</w:t>
            </w:r>
          </w:p>
        </w:tc>
        <w:tc>
          <w:tcPr>
            <w:tcW w:w="846" w:type="dxa"/>
            <w:shd w:val="clear" w:color="auto" w:fill="auto"/>
            <w:vAlign w:val="center"/>
          </w:tcPr>
          <w:p>
            <w:pPr>
              <w:widowControl/>
              <w:jc w:val="center"/>
              <w:rPr>
                <w:color w:val="000000"/>
                <w:kern w:val="0"/>
                <w:szCs w:val="21"/>
              </w:rPr>
            </w:pPr>
            <w:r>
              <w:rPr>
                <w:color w:val="000000"/>
                <w:kern w:val="0"/>
                <w:szCs w:val="21"/>
              </w:rPr>
              <w:t>1.08</w:t>
            </w:r>
          </w:p>
        </w:tc>
        <w:tc>
          <w:tcPr>
            <w:tcW w:w="846" w:type="dxa"/>
            <w:vAlign w:val="center"/>
          </w:tcPr>
          <w:p>
            <w:pPr>
              <w:widowControl/>
              <w:jc w:val="center"/>
              <w:rPr>
                <w:color w:val="000000"/>
                <w:kern w:val="0"/>
                <w:szCs w:val="21"/>
              </w:rPr>
            </w:pPr>
            <w:r>
              <w:rPr>
                <w:color w:val="000000"/>
                <w:kern w:val="0"/>
                <w:szCs w:val="21"/>
              </w:rPr>
              <w:t>16.7</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8.3</w:t>
            </w:r>
          </w:p>
        </w:tc>
        <w:tc>
          <w:tcPr>
            <w:tcW w:w="846" w:type="dxa"/>
            <w:vAlign w:val="center"/>
          </w:tcPr>
          <w:p>
            <w:pPr>
              <w:widowControl/>
              <w:jc w:val="center"/>
              <w:rPr>
                <w:color w:val="000000"/>
                <w:kern w:val="0"/>
                <w:szCs w:val="21"/>
              </w:rPr>
            </w:pPr>
            <w:r>
              <w:rPr>
                <w:color w:val="000000"/>
                <w:kern w:val="0"/>
                <w:szCs w:val="21"/>
              </w:rPr>
              <w:t>25.0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0.64</w:t>
            </w:r>
          </w:p>
        </w:tc>
        <w:tc>
          <w:tcPr>
            <w:tcW w:w="846" w:type="dxa"/>
            <w:vAlign w:val="center"/>
          </w:tcPr>
          <w:p>
            <w:pPr>
              <w:widowControl/>
              <w:jc w:val="center"/>
              <w:rPr>
                <w:color w:val="000000"/>
                <w:kern w:val="0"/>
                <w:szCs w:val="21"/>
              </w:rPr>
            </w:pPr>
            <w:r>
              <w:rPr>
                <w:color w:val="000000"/>
                <w:kern w:val="0"/>
                <w:szCs w:val="21"/>
              </w:rPr>
              <w:t>15.4</w:t>
            </w:r>
          </w:p>
        </w:tc>
        <w:tc>
          <w:tcPr>
            <w:tcW w:w="636" w:type="dxa"/>
            <w:vAlign w:val="center"/>
          </w:tcPr>
          <w:p>
            <w:pPr>
              <w:widowControl/>
              <w:jc w:val="center"/>
              <w:rPr>
                <w:color w:val="000000"/>
                <w:kern w:val="0"/>
                <w:szCs w:val="21"/>
              </w:rPr>
            </w:pPr>
            <w:r>
              <w:rPr>
                <w:color w:val="000000"/>
                <w:kern w:val="0"/>
                <w:szCs w:val="21"/>
              </w:rPr>
              <w:t>61.5</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0.46</w:t>
            </w:r>
          </w:p>
        </w:tc>
        <w:tc>
          <w:tcPr>
            <w:tcW w:w="846" w:type="dxa"/>
            <w:vAlign w:val="center"/>
          </w:tcPr>
          <w:p>
            <w:pPr>
              <w:widowControl/>
              <w:jc w:val="center"/>
              <w:rPr>
                <w:color w:val="000000"/>
                <w:kern w:val="0"/>
                <w:szCs w:val="21"/>
              </w:rPr>
            </w:pPr>
            <w:r>
              <w:rPr>
                <w:color w:val="000000"/>
                <w:kern w:val="0"/>
                <w:szCs w:val="21"/>
              </w:rPr>
              <w:t>25.0</w:t>
            </w:r>
          </w:p>
        </w:tc>
        <w:tc>
          <w:tcPr>
            <w:tcW w:w="636"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3.93</w:t>
            </w:r>
          </w:p>
        </w:tc>
        <w:tc>
          <w:tcPr>
            <w:tcW w:w="846" w:type="dxa"/>
            <w:shd w:val="clear" w:color="auto" w:fill="auto"/>
            <w:vAlign w:val="center"/>
          </w:tcPr>
          <w:p>
            <w:pPr>
              <w:widowControl/>
              <w:jc w:val="center"/>
              <w:rPr>
                <w:color w:val="000000"/>
                <w:kern w:val="0"/>
                <w:szCs w:val="21"/>
              </w:rPr>
            </w:pPr>
            <w:r>
              <w:rPr>
                <w:color w:val="000000"/>
                <w:kern w:val="0"/>
                <w:szCs w:val="21"/>
              </w:rPr>
              <w:t>0.62</w:t>
            </w:r>
          </w:p>
        </w:tc>
        <w:tc>
          <w:tcPr>
            <w:tcW w:w="846" w:type="dxa"/>
            <w:vAlign w:val="center"/>
          </w:tcPr>
          <w:p>
            <w:pPr>
              <w:widowControl/>
              <w:jc w:val="center"/>
              <w:rPr>
                <w:color w:val="000000"/>
                <w:kern w:val="0"/>
                <w:szCs w:val="21"/>
              </w:rPr>
            </w:pPr>
            <w:r>
              <w:rPr>
                <w:color w:val="000000"/>
                <w:kern w:val="0"/>
                <w:szCs w:val="21"/>
              </w:rPr>
              <w:t>14.3</w:t>
            </w:r>
          </w:p>
        </w:tc>
        <w:tc>
          <w:tcPr>
            <w:tcW w:w="636" w:type="dxa"/>
            <w:vAlign w:val="center"/>
          </w:tcPr>
          <w:p>
            <w:pPr>
              <w:widowControl/>
              <w:jc w:val="center"/>
              <w:rPr>
                <w:color w:val="000000"/>
                <w:kern w:val="0"/>
                <w:szCs w:val="21"/>
              </w:rPr>
            </w:pPr>
            <w:r>
              <w:rPr>
                <w:color w:val="000000"/>
                <w:kern w:val="0"/>
                <w:szCs w:val="21"/>
              </w:rPr>
              <w:t>64.3</w:t>
            </w:r>
          </w:p>
        </w:tc>
        <w:tc>
          <w:tcPr>
            <w:tcW w:w="846" w:type="dxa"/>
            <w:vAlign w:val="center"/>
          </w:tcPr>
          <w:p>
            <w:pPr>
              <w:widowControl/>
              <w:jc w:val="center"/>
              <w:rPr>
                <w:color w:val="000000"/>
                <w:kern w:val="0"/>
                <w:szCs w:val="21"/>
              </w:rPr>
            </w:pPr>
            <w:r>
              <w:rPr>
                <w:color w:val="000000"/>
                <w:kern w:val="0"/>
                <w:szCs w:val="21"/>
              </w:rPr>
              <w:t>21.4</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129</w:t>
            </w:r>
          </w:p>
        </w:tc>
        <w:tc>
          <w:tcPr>
            <w:tcW w:w="636" w:type="dxa"/>
            <w:shd w:val="clear" w:color="auto" w:fill="auto"/>
            <w:vAlign w:val="center"/>
          </w:tcPr>
          <w:p>
            <w:pPr>
              <w:widowControl/>
              <w:jc w:val="center"/>
              <w:rPr>
                <w:color w:val="000000"/>
                <w:kern w:val="0"/>
                <w:szCs w:val="21"/>
              </w:rPr>
            </w:pPr>
            <w:r>
              <w:rPr>
                <w:color w:val="000000"/>
                <w:kern w:val="0"/>
                <w:szCs w:val="21"/>
              </w:rPr>
              <w:t>3.90</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846" w:type="dxa"/>
            <w:vAlign w:val="center"/>
          </w:tcPr>
          <w:p>
            <w:pPr>
              <w:widowControl/>
              <w:jc w:val="center"/>
              <w:rPr>
                <w:color w:val="000000"/>
                <w:kern w:val="0"/>
                <w:szCs w:val="21"/>
              </w:rPr>
            </w:pPr>
            <w:r>
              <w:rPr>
                <w:color w:val="000000"/>
                <w:kern w:val="0"/>
                <w:szCs w:val="21"/>
              </w:rPr>
              <w:t>23.3</w:t>
            </w:r>
          </w:p>
        </w:tc>
        <w:tc>
          <w:tcPr>
            <w:tcW w:w="636" w:type="dxa"/>
            <w:vAlign w:val="center"/>
          </w:tcPr>
          <w:p>
            <w:pPr>
              <w:widowControl/>
              <w:jc w:val="center"/>
              <w:rPr>
                <w:color w:val="000000"/>
                <w:kern w:val="0"/>
                <w:szCs w:val="21"/>
              </w:rPr>
            </w:pPr>
            <w:r>
              <w:rPr>
                <w:color w:val="000000"/>
                <w:kern w:val="0"/>
                <w:szCs w:val="21"/>
              </w:rPr>
              <w:t>48.8</w:t>
            </w:r>
          </w:p>
        </w:tc>
        <w:tc>
          <w:tcPr>
            <w:tcW w:w="846" w:type="dxa"/>
            <w:vAlign w:val="center"/>
          </w:tcPr>
          <w:p>
            <w:pPr>
              <w:widowControl/>
              <w:jc w:val="center"/>
              <w:rPr>
                <w:color w:val="000000"/>
                <w:kern w:val="0"/>
                <w:szCs w:val="21"/>
              </w:rPr>
            </w:pPr>
            <w:r>
              <w:rPr>
                <w:color w:val="000000"/>
                <w:kern w:val="0"/>
                <w:szCs w:val="21"/>
              </w:rPr>
              <w:t>23.3</w:t>
            </w:r>
          </w:p>
        </w:tc>
        <w:tc>
          <w:tcPr>
            <w:tcW w:w="846" w:type="dxa"/>
            <w:vAlign w:val="center"/>
          </w:tcPr>
          <w:p>
            <w:pPr>
              <w:widowControl/>
              <w:jc w:val="center"/>
              <w:rPr>
                <w:color w:val="000000"/>
                <w:kern w:val="0"/>
                <w:szCs w:val="21"/>
              </w:rPr>
            </w:pPr>
            <w:r>
              <w:rPr>
                <w:color w:val="000000"/>
                <w:kern w:val="0"/>
                <w:szCs w:val="21"/>
              </w:rPr>
              <w:t>3.9</w:t>
            </w:r>
          </w:p>
        </w:tc>
        <w:tc>
          <w:tcPr>
            <w:tcW w:w="1056" w:type="dxa"/>
            <w:vAlign w:val="center"/>
          </w:tcPr>
          <w:p>
            <w:pPr>
              <w:widowControl/>
              <w:jc w:val="center"/>
              <w:rPr>
                <w:color w:val="000000"/>
                <w:kern w:val="0"/>
                <w:szCs w:val="21"/>
              </w:rPr>
            </w:pPr>
            <w:r>
              <w:rPr>
                <w:color w:val="000000"/>
                <w:kern w:val="0"/>
                <w:szCs w:val="21"/>
              </w:rPr>
              <w:t>0.8</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Pr>
        <w:pStyle w:val="37"/>
        <w:ind w:firstLine="0" w:firstLineChars="0"/>
      </w:pPr>
    </w:p>
    <w:p>
      <w:pPr>
        <w:pStyle w:val="67"/>
      </w:pPr>
      <w:bookmarkStart w:id="129" w:name="_Toc470167394"/>
      <w:r>
        <w:rPr>
          <w:rFonts w:hint="eastAsia"/>
        </w:rPr>
        <w:t>2、就业地区</w:t>
      </w:r>
      <w:bookmarkEnd w:id="129"/>
    </w:p>
    <w:p>
      <w:pPr>
        <w:pStyle w:val="70"/>
      </w:pPr>
      <w:bookmarkStart w:id="130" w:name="PO_33211"/>
      <w:bookmarkEnd w:id="130"/>
      <w:r>
        <w:rPr>
          <w:rFonts w:hint="eastAsia"/>
        </w:rPr>
        <w:t>（1）总体情况</w:t>
      </w:r>
    </w:p>
    <w:p>
      <w:pPr>
        <w:pStyle w:val="37"/>
        <w:ind w:firstLine="480"/>
      </w:pPr>
      <w:r>
        <w:rPr>
          <w:rFonts w:hint="eastAsia"/>
        </w:rPr>
        <w:t>就不同就业地区而言，本科生期望首选在京就业的比例为96.1%，最终落实在京就业的为96.7%；期望首选在东部的比例为3.1%，最终落实在东部的为2.4%；期望首选在中部的比例为0.8%，最终落实在中部的为0.8%。</w:t>
      </w:r>
    </w:p>
    <w:p>
      <w:pPr>
        <w:pStyle w:val="37"/>
        <w:ind w:firstLine="480"/>
      </w:pPr>
      <w:r>
        <w:rPr>
          <w:rFonts w:hint="eastAsia"/>
        </w:rPr>
        <w:t>同时，根据全国经济区的划分，本科生除北京地区外，本科生就业首选排名前三的区域为南部沿海经济区（1.6%），东部沿海经济区（1.6%），长江中游经济区（0.8%），最终落实排名前三的区域为东部沿海经济区（1.6%），长江中游经济区（0.8%），南部沿海经济区（0.8%）。</w:t>
      </w:r>
    </w:p>
    <w:p>
      <w:pPr>
        <w:pStyle w:val="53"/>
        <w:spacing w:before="312" w:after="156"/>
      </w:pPr>
      <w:r>
        <w:rPr>
          <w:rFonts w:hint="eastAsia"/>
        </w:rPr>
        <w:t>期望首选与最终落实就业地区（1）（%）</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北京就业</w:t>
            </w:r>
          </w:p>
        </w:tc>
        <w:tc>
          <w:tcPr>
            <w:tcW w:w="1134" w:type="dxa"/>
            <w:vAlign w:val="center"/>
          </w:tcPr>
          <w:p>
            <w:pPr>
              <w:widowControl/>
              <w:jc w:val="center"/>
              <w:rPr>
                <w:color w:val="000000"/>
                <w:kern w:val="0"/>
                <w:szCs w:val="21"/>
              </w:rPr>
            </w:pPr>
            <w:r>
              <w:rPr>
                <w:color w:val="000000"/>
                <w:kern w:val="0"/>
                <w:szCs w:val="21"/>
              </w:rPr>
              <w:t>96.1</w:t>
            </w:r>
          </w:p>
        </w:tc>
        <w:tc>
          <w:tcPr>
            <w:tcW w:w="1238" w:type="dxa"/>
            <w:vAlign w:val="center"/>
          </w:tcPr>
          <w:p>
            <w:pPr>
              <w:widowControl/>
              <w:jc w:val="center"/>
              <w:rPr>
                <w:color w:val="000000"/>
                <w:kern w:val="0"/>
                <w:szCs w:val="21"/>
              </w:rPr>
            </w:pPr>
            <w:r>
              <w:rPr>
                <w:color w:val="000000"/>
                <w:kern w:val="0"/>
                <w:szCs w:val="21"/>
              </w:rPr>
              <w:t>96.7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东部就业</w:t>
            </w:r>
          </w:p>
        </w:tc>
        <w:tc>
          <w:tcPr>
            <w:tcW w:w="1134" w:type="dxa"/>
            <w:vAlign w:val="center"/>
          </w:tcPr>
          <w:p>
            <w:pPr>
              <w:widowControl/>
              <w:jc w:val="center"/>
              <w:rPr>
                <w:color w:val="000000"/>
                <w:kern w:val="0"/>
                <w:szCs w:val="21"/>
              </w:rPr>
            </w:pPr>
            <w:r>
              <w:rPr>
                <w:color w:val="000000"/>
                <w:kern w:val="0"/>
                <w:szCs w:val="21"/>
              </w:rPr>
              <w:t>3.1</w:t>
            </w:r>
          </w:p>
        </w:tc>
        <w:tc>
          <w:tcPr>
            <w:tcW w:w="1238" w:type="dxa"/>
            <w:vAlign w:val="center"/>
          </w:tcPr>
          <w:p>
            <w:pPr>
              <w:widowControl/>
              <w:jc w:val="center"/>
              <w:rPr>
                <w:color w:val="000000"/>
                <w:kern w:val="0"/>
                <w:szCs w:val="21"/>
              </w:rPr>
            </w:pPr>
            <w:r>
              <w:rPr>
                <w:color w:val="000000"/>
                <w:kern w:val="0"/>
                <w:szCs w:val="21"/>
              </w:rPr>
              <w:t>2.4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中部就业</w:t>
            </w:r>
          </w:p>
        </w:tc>
        <w:tc>
          <w:tcPr>
            <w:tcW w:w="1134" w:type="dxa"/>
            <w:vAlign w:val="center"/>
          </w:tcPr>
          <w:p>
            <w:pPr>
              <w:widowControl/>
              <w:jc w:val="center"/>
              <w:rPr>
                <w:color w:val="000000"/>
                <w:kern w:val="0"/>
                <w:szCs w:val="21"/>
              </w:rPr>
            </w:pPr>
            <w:r>
              <w:rPr>
                <w:color w:val="000000"/>
                <w:kern w:val="0"/>
                <w:szCs w:val="21"/>
              </w:rPr>
              <w:t>0.8</w:t>
            </w:r>
          </w:p>
        </w:tc>
        <w:tc>
          <w:tcPr>
            <w:tcW w:w="1238" w:type="dxa"/>
            <w:vAlign w:val="center"/>
          </w:tcPr>
          <w:p>
            <w:pPr>
              <w:widowControl/>
              <w:jc w:val="center"/>
              <w:rPr>
                <w:color w:val="000000"/>
                <w:kern w:val="0"/>
                <w:szCs w:val="21"/>
              </w:rPr>
            </w:pPr>
            <w:r>
              <w:rPr>
                <w:color w:val="000000"/>
                <w:kern w:val="0"/>
                <w:szCs w:val="21"/>
              </w:rPr>
              <w:t>0.8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西部就业</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bl>
    <w:p>
      <w:pPr>
        <w:pStyle w:val="53"/>
        <w:spacing w:before="312" w:after="156"/>
      </w:pPr>
      <w:r>
        <w:rPr>
          <w:rFonts w:hint="eastAsia"/>
        </w:rPr>
        <w:t>期望首选与最终落实就业地区（2）（%）</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北京地区</w:t>
            </w:r>
          </w:p>
        </w:tc>
        <w:tc>
          <w:tcPr>
            <w:tcW w:w="1134" w:type="dxa"/>
            <w:vAlign w:val="center"/>
          </w:tcPr>
          <w:p>
            <w:pPr>
              <w:widowControl/>
              <w:jc w:val="center"/>
              <w:rPr>
                <w:color w:val="000000"/>
                <w:kern w:val="0"/>
                <w:szCs w:val="21"/>
              </w:rPr>
            </w:pPr>
            <w:r>
              <w:rPr>
                <w:color w:val="000000"/>
                <w:kern w:val="0"/>
                <w:szCs w:val="21"/>
              </w:rPr>
              <w:t>96.1</w:t>
            </w:r>
          </w:p>
        </w:tc>
        <w:tc>
          <w:tcPr>
            <w:tcW w:w="1238" w:type="dxa"/>
            <w:vAlign w:val="center"/>
          </w:tcPr>
          <w:p>
            <w:pPr>
              <w:widowControl/>
              <w:jc w:val="center"/>
              <w:rPr>
                <w:color w:val="000000"/>
                <w:kern w:val="0"/>
                <w:szCs w:val="21"/>
              </w:rPr>
            </w:pPr>
            <w:r>
              <w:rPr>
                <w:color w:val="000000"/>
                <w:kern w:val="0"/>
                <w:szCs w:val="21"/>
              </w:rPr>
              <w:t>96.7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东北经济区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北部沿海经济区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东部沿海经济区</w:t>
            </w:r>
          </w:p>
        </w:tc>
        <w:tc>
          <w:tcPr>
            <w:tcW w:w="1134" w:type="dxa"/>
            <w:vAlign w:val="center"/>
          </w:tcPr>
          <w:p>
            <w:pPr>
              <w:widowControl/>
              <w:jc w:val="center"/>
              <w:rPr>
                <w:color w:val="000000"/>
                <w:kern w:val="0"/>
                <w:szCs w:val="21"/>
              </w:rPr>
            </w:pPr>
            <w:r>
              <w:rPr>
                <w:color w:val="000000"/>
                <w:kern w:val="0"/>
                <w:szCs w:val="21"/>
              </w:rPr>
              <w:t>1.6</w:t>
            </w:r>
          </w:p>
        </w:tc>
        <w:tc>
          <w:tcPr>
            <w:tcW w:w="1238" w:type="dxa"/>
            <w:vAlign w:val="center"/>
          </w:tcPr>
          <w:p>
            <w:pPr>
              <w:widowControl/>
              <w:jc w:val="center"/>
              <w:rPr>
                <w:color w:val="000000"/>
                <w:kern w:val="0"/>
                <w:szCs w:val="21"/>
              </w:rPr>
            </w:pPr>
            <w:r>
              <w:rPr>
                <w:color w:val="000000"/>
                <w:kern w:val="0"/>
                <w:szCs w:val="21"/>
              </w:rPr>
              <w:t>1.6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南部沿海经济区</w:t>
            </w:r>
          </w:p>
        </w:tc>
        <w:tc>
          <w:tcPr>
            <w:tcW w:w="1134" w:type="dxa"/>
            <w:vAlign w:val="center"/>
          </w:tcPr>
          <w:p>
            <w:pPr>
              <w:widowControl/>
              <w:jc w:val="center"/>
              <w:rPr>
                <w:color w:val="000000"/>
                <w:kern w:val="0"/>
                <w:szCs w:val="21"/>
              </w:rPr>
            </w:pPr>
            <w:r>
              <w:rPr>
                <w:color w:val="000000"/>
                <w:kern w:val="0"/>
                <w:szCs w:val="21"/>
              </w:rPr>
              <w:t>1.6</w:t>
            </w:r>
          </w:p>
        </w:tc>
        <w:tc>
          <w:tcPr>
            <w:tcW w:w="1238" w:type="dxa"/>
            <w:vAlign w:val="center"/>
          </w:tcPr>
          <w:p>
            <w:pPr>
              <w:widowControl/>
              <w:jc w:val="center"/>
              <w:rPr>
                <w:color w:val="000000"/>
                <w:kern w:val="0"/>
                <w:szCs w:val="21"/>
              </w:rPr>
            </w:pPr>
            <w:r>
              <w:rPr>
                <w:color w:val="000000"/>
                <w:kern w:val="0"/>
                <w:szCs w:val="21"/>
              </w:rPr>
              <w:t>0.8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黄河中游经济区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长江中游经济区</w:t>
            </w:r>
          </w:p>
        </w:tc>
        <w:tc>
          <w:tcPr>
            <w:tcW w:w="1134" w:type="dxa"/>
            <w:vAlign w:val="center"/>
          </w:tcPr>
          <w:p>
            <w:pPr>
              <w:widowControl/>
              <w:jc w:val="center"/>
              <w:rPr>
                <w:color w:val="000000"/>
                <w:kern w:val="0"/>
                <w:szCs w:val="21"/>
              </w:rPr>
            </w:pPr>
            <w:r>
              <w:rPr>
                <w:color w:val="000000"/>
                <w:kern w:val="0"/>
                <w:szCs w:val="21"/>
              </w:rPr>
              <w:t>0.8</w:t>
            </w:r>
          </w:p>
        </w:tc>
        <w:tc>
          <w:tcPr>
            <w:tcW w:w="1238" w:type="dxa"/>
            <w:vAlign w:val="center"/>
          </w:tcPr>
          <w:p>
            <w:pPr>
              <w:widowControl/>
              <w:jc w:val="center"/>
              <w:rPr>
                <w:color w:val="000000"/>
                <w:kern w:val="0"/>
                <w:szCs w:val="21"/>
              </w:rPr>
            </w:pPr>
            <w:r>
              <w:rPr>
                <w:color w:val="000000"/>
                <w:kern w:val="0"/>
                <w:szCs w:val="21"/>
              </w:rPr>
              <w:t>0.8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西南经济区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西北经济区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bl>
    <w:p/>
    <w:p>
      <w:pPr>
        <w:pStyle w:val="70"/>
      </w:pPr>
      <w:r>
        <w:rPr>
          <w:rFonts w:hint="eastAsia"/>
        </w:rPr>
        <w:t>（2）不同生源地本科生就业地区</w:t>
      </w:r>
    </w:p>
    <w:p>
      <w:pPr>
        <w:pStyle w:val="37"/>
        <w:ind w:firstLine="480"/>
      </w:pPr>
      <w:r>
        <w:rPr>
          <w:rFonts w:hint="eastAsia"/>
        </w:rPr>
        <w:t>就不同生源地区而言，北京生源的本科生最终落实在京就业的比例为100.0%，期望比例为100.0%；京外生源的本科生最终落实在京就业的比例为96.5%，期望比例为95.9%。</w:t>
      </w:r>
    </w:p>
    <w:p>
      <w:pPr>
        <w:pStyle w:val="53"/>
        <w:spacing w:before="312" w:after="156"/>
      </w:pPr>
      <w:r>
        <w:rPr>
          <w:rFonts w:hint="eastAsia"/>
        </w:rPr>
        <w:t>不同生源地区本科生期望首选与最终落实就业地区（1）</w:t>
      </w:r>
    </w:p>
    <w:tbl>
      <w:tblPr>
        <w:tblStyle w:val="33"/>
        <w:tblW w:w="686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056"/>
        <w:gridCol w:w="531"/>
        <w:gridCol w:w="105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05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531"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224" w:type="dxa"/>
            <w:gridSpan w:val="4"/>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05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531"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北京就业</w:t>
            </w:r>
          </w:p>
        </w:tc>
        <w:tc>
          <w:tcPr>
            <w:tcW w:w="1056" w:type="dxa"/>
            <w:vAlign w:val="center"/>
          </w:tcPr>
          <w:p>
            <w:pPr>
              <w:pStyle w:val="52"/>
              <w:jc w:val="center"/>
              <w:rPr>
                <w:szCs w:val="21"/>
              </w:rPr>
            </w:pPr>
            <w:r>
              <w:rPr>
                <w:rFonts w:hint="eastAsia"/>
                <w:szCs w:val="21"/>
              </w:rPr>
              <w:t>东部就业</w:t>
            </w:r>
          </w:p>
        </w:tc>
        <w:tc>
          <w:tcPr>
            <w:tcW w:w="1056" w:type="dxa"/>
            <w:vAlign w:val="center"/>
          </w:tcPr>
          <w:p>
            <w:pPr>
              <w:pStyle w:val="52"/>
              <w:jc w:val="center"/>
              <w:rPr>
                <w:szCs w:val="21"/>
              </w:rPr>
            </w:pPr>
            <w:r>
              <w:rPr>
                <w:rFonts w:hint="eastAsia"/>
                <w:szCs w:val="21"/>
              </w:rPr>
              <w:t>中部就业</w:t>
            </w:r>
          </w:p>
        </w:tc>
        <w:tc>
          <w:tcPr>
            <w:tcW w:w="1056" w:type="dxa"/>
            <w:shd w:val="clear" w:color="auto" w:fill="auto"/>
            <w:vAlign w:val="center"/>
          </w:tcPr>
          <w:p>
            <w:pPr>
              <w:pStyle w:val="52"/>
              <w:jc w:val="center"/>
              <w:rPr>
                <w:szCs w:val="20"/>
              </w:rPr>
            </w:pPr>
            <w:r>
              <w:rPr>
                <w:rFonts w:hint="eastAsia"/>
                <w:szCs w:val="21"/>
              </w:rPr>
              <w:t>西部就业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056" w:type="dxa"/>
            <w:shd w:val="clear" w:color="auto" w:fill="auto"/>
            <w:vAlign w:val="center"/>
          </w:tcPr>
          <w:p>
            <w:pPr>
              <w:pStyle w:val="52"/>
              <w:rPr>
                <w:szCs w:val="20"/>
              </w:rPr>
            </w:pPr>
            <w:r>
              <w:rPr>
                <w:rFonts w:hint="eastAsia"/>
                <w:szCs w:val="21"/>
              </w:rPr>
              <w:t>北京生源</w:t>
            </w:r>
          </w:p>
        </w:tc>
        <w:tc>
          <w:tcPr>
            <w:tcW w:w="531" w:type="dxa"/>
            <w:shd w:val="clear" w:color="auto" w:fill="auto"/>
            <w:vAlign w:val="center"/>
          </w:tcPr>
          <w:p>
            <w:pPr>
              <w:pStyle w:val="52"/>
              <w:jc w:val="center"/>
              <w:rPr>
                <w:szCs w:val="20"/>
              </w:rPr>
            </w:pPr>
            <w:r>
              <w:rPr>
                <w:szCs w:val="21"/>
              </w:rPr>
              <w:t>8</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531" w:type="dxa"/>
            <w:shd w:val="clear" w:color="auto" w:fill="auto"/>
            <w:vAlign w:val="center"/>
          </w:tcPr>
          <w:p>
            <w:pPr>
              <w:pStyle w:val="52"/>
              <w:jc w:val="center"/>
              <w:rPr>
                <w:szCs w:val="21"/>
              </w:rPr>
            </w:pPr>
            <w:r>
              <w:rPr>
                <w:szCs w:val="21"/>
              </w:rPr>
              <w:t>121</w:t>
            </w:r>
          </w:p>
        </w:tc>
        <w:tc>
          <w:tcPr>
            <w:tcW w:w="1056" w:type="dxa"/>
            <w:vAlign w:val="center"/>
          </w:tcPr>
          <w:p>
            <w:pPr>
              <w:pStyle w:val="52"/>
              <w:jc w:val="center"/>
              <w:rPr>
                <w:szCs w:val="21"/>
              </w:rPr>
            </w:pPr>
            <w:r>
              <w:rPr>
                <w:szCs w:val="21"/>
              </w:rPr>
              <w:t>95.9</w:t>
            </w:r>
          </w:p>
        </w:tc>
        <w:tc>
          <w:tcPr>
            <w:tcW w:w="1056" w:type="dxa"/>
            <w:vAlign w:val="center"/>
          </w:tcPr>
          <w:p>
            <w:pPr>
              <w:pStyle w:val="52"/>
              <w:jc w:val="center"/>
              <w:rPr>
                <w:szCs w:val="21"/>
              </w:rPr>
            </w:pPr>
            <w:r>
              <w:rPr>
                <w:szCs w:val="21"/>
              </w:rPr>
              <w:t>3.3</w:t>
            </w:r>
          </w:p>
        </w:tc>
        <w:tc>
          <w:tcPr>
            <w:tcW w:w="1056" w:type="dxa"/>
            <w:vAlign w:val="center"/>
          </w:tcPr>
          <w:p>
            <w:pPr>
              <w:pStyle w:val="52"/>
              <w:jc w:val="center"/>
              <w:rPr>
                <w:szCs w:val="21"/>
              </w:rPr>
            </w:pPr>
            <w:r>
              <w:rPr>
                <w:szCs w:val="21"/>
              </w:rPr>
              <w:t>0.8</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056" w:type="dxa"/>
            <w:shd w:val="clear" w:color="auto" w:fill="auto"/>
            <w:vAlign w:val="center"/>
          </w:tcPr>
          <w:p>
            <w:pPr>
              <w:pStyle w:val="52"/>
              <w:rPr>
                <w:szCs w:val="21"/>
              </w:rPr>
            </w:pPr>
            <w:r>
              <w:rPr>
                <w:rFonts w:hint="eastAsia"/>
                <w:szCs w:val="21"/>
              </w:rPr>
              <w:t>北京生源</w:t>
            </w:r>
          </w:p>
        </w:tc>
        <w:tc>
          <w:tcPr>
            <w:tcW w:w="531" w:type="dxa"/>
            <w:shd w:val="clear" w:color="auto" w:fill="auto"/>
            <w:vAlign w:val="center"/>
          </w:tcPr>
          <w:p>
            <w:pPr>
              <w:pStyle w:val="52"/>
              <w:jc w:val="center"/>
              <w:rPr>
                <w:szCs w:val="21"/>
              </w:rPr>
            </w:pPr>
            <w:r>
              <w:rPr>
                <w:szCs w:val="21"/>
              </w:rPr>
              <w:t>8</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531" w:type="dxa"/>
            <w:shd w:val="clear" w:color="auto" w:fill="auto"/>
            <w:vAlign w:val="center"/>
          </w:tcPr>
          <w:p>
            <w:pPr>
              <w:pStyle w:val="52"/>
              <w:jc w:val="center"/>
              <w:rPr>
                <w:szCs w:val="21"/>
              </w:rPr>
            </w:pPr>
            <w:r>
              <w:rPr>
                <w:szCs w:val="21"/>
              </w:rPr>
              <w:t>115</w:t>
            </w:r>
          </w:p>
        </w:tc>
        <w:tc>
          <w:tcPr>
            <w:tcW w:w="1056" w:type="dxa"/>
            <w:vAlign w:val="center"/>
          </w:tcPr>
          <w:p>
            <w:pPr>
              <w:pStyle w:val="52"/>
              <w:jc w:val="center"/>
              <w:rPr>
                <w:szCs w:val="21"/>
              </w:rPr>
            </w:pPr>
            <w:r>
              <w:rPr>
                <w:szCs w:val="21"/>
              </w:rPr>
              <w:t>96.5</w:t>
            </w:r>
          </w:p>
        </w:tc>
        <w:tc>
          <w:tcPr>
            <w:tcW w:w="1056" w:type="dxa"/>
            <w:vAlign w:val="center"/>
          </w:tcPr>
          <w:p>
            <w:pPr>
              <w:pStyle w:val="52"/>
              <w:jc w:val="center"/>
              <w:rPr>
                <w:szCs w:val="21"/>
              </w:rPr>
            </w:pPr>
            <w:r>
              <w:rPr>
                <w:szCs w:val="21"/>
              </w:rPr>
              <w:t>2.6</w:t>
            </w:r>
          </w:p>
        </w:tc>
        <w:tc>
          <w:tcPr>
            <w:tcW w:w="1056" w:type="dxa"/>
            <w:vAlign w:val="center"/>
          </w:tcPr>
          <w:p>
            <w:pPr>
              <w:pStyle w:val="52"/>
              <w:jc w:val="center"/>
              <w:rPr>
                <w:szCs w:val="21"/>
              </w:rPr>
            </w:pPr>
            <w:r>
              <w:rPr>
                <w:szCs w:val="21"/>
              </w:rPr>
              <w:t>0.9</w:t>
            </w:r>
          </w:p>
        </w:tc>
        <w:tc>
          <w:tcPr>
            <w:tcW w:w="1056" w:type="dxa"/>
            <w:shd w:val="clear" w:color="auto" w:fill="auto"/>
            <w:vAlign w:val="center"/>
          </w:tcPr>
          <w:p>
            <w:pPr>
              <w:pStyle w:val="52"/>
              <w:jc w:val="center"/>
              <w:rPr>
                <w:szCs w:val="21"/>
              </w:rPr>
            </w:pPr>
            <w:r>
              <w:rPr>
                <w:szCs w:val="21"/>
              </w:rPr>
              <w:t>0.0</w:t>
            </w:r>
          </w:p>
        </w:tc>
      </w:tr>
    </w:tbl>
    <w:p>
      <w:pPr>
        <w:pStyle w:val="53"/>
        <w:spacing w:before="312" w:after="156"/>
      </w:pPr>
      <w:r>
        <w:rPr>
          <w:rFonts w:hint="eastAsia"/>
        </w:rPr>
        <w:t>不同生源地区本科生期望首选与最终落实就业地区（2）</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709"/>
        <w:gridCol w:w="1183"/>
        <w:gridCol w:w="531"/>
        <w:gridCol w:w="811"/>
        <w:gridCol w:w="740"/>
        <w:gridCol w:w="880"/>
        <w:gridCol w:w="880"/>
        <w:gridCol w:w="880"/>
        <w:gridCol w:w="880"/>
        <w:gridCol w:w="880"/>
        <w:gridCol w:w="740"/>
        <w:gridCol w:w="740"/>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709" w:type="dxa"/>
            <w:vMerge w:val="restart"/>
            <w:tcBorders>
              <w:right w:val="dotted" w:color="00B050" w:sz="8" w:space="0"/>
            </w:tcBorders>
            <w:shd w:val="clear" w:color="auto" w:fill="auto"/>
            <w:vAlign w:val="center"/>
          </w:tcPr>
          <w:p>
            <w:pPr>
              <w:pStyle w:val="52"/>
              <w:ind w:firstLine="480"/>
              <w:jc w:val="center"/>
              <w:rPr>
                <w:szCs w:val="20"/>
              </w:rPr>
            </w:pPr>
          </w:p>
        </w:tc>
        <w:tc>
          <w:tcPr>
            <w:tcW w:w="1183"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531"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7431" w:type="dxa"/>
            <w:gridSpan w:val="9"/>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709" w:type="dxa"/>
            <w:vMerge w:val="continue"/>
            <w:tcBorders>
              <w:right w:val="dotted" w:color="00B050" w:sz="8" w:space="0"/>
            </w:tcBorders>
            <w:shd w:val="clear" w:color="auto" w:fill="auto"/>
            <w:vAlign w:val="center"/>
          </w:tcPr>
          <w:p>
            <w:pPr>
              <w:pStyle w:val="52"/>
              <w:jc w:val="center"/>
              <w:rPr>
                <w:szCs w:val="20"/>
              </w:rPr>
            </w:pPr>
          </w:p>
        </w:tc>
        <w:tc>
          <w:tcPr>
            <w:tcW w:w="1183"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531" w:type="dxa"/>
            <w:vMerge w:val="continue"/>
            <w:tcBorders>
              <w:left w:val="dotted" w:color="00B050" w:sz="8" w:space="0"/>
            </w:tcBorders>
            <w:shd w:val="clear" w:color="auto" w:fill="auto"/>
            <w:vAlign w:val="center"/>
          </w:tcPr>
          <w:p>
            <w:pPr>
              <w:pStyle w:val="52"/>
              <w:jc w:val="center"/>
              <w:rPr>
                <w:szCs w:val="20"/>
              </w:rPr>
            </w:pPr>
          </w:p>
        </w:tc>
        <w:tc>
          <w:tcPr>
            <w:tcW w:w="811" w:type="dxa"/>
            <w:vAlign w:val="center"/>
          </w:tcPr>
          <w:p>
            <w:pPr>
              <w:pStyle w:val="52"/>
              <w:jc w:val="center"/>
              <w:rPr>
                <w:szCs w:val="21"/>
              </w:rPr>
            </w:pPr>
            <w:r>
              <w:rPr>
                <w:rFonts w:hint="eastAsia"/>
                <w:szCs w:val="21"/>
              </w:rPr>
              <w:t>北京地区</w:t>
            </w:r>
          </w:p>
        </w:tc>
        <w:tc>
          <w:tcPr>
            <w:tcW w:w="740" w:type="dxa"/>
            <w:vAlign w:val="center"/>
          </w:tcPr>
          <w:p>
            <w:pPr>
              <w:pStyle w:val="52"/>
              <w:jc w:val="center"/>
              <w:rPr>
                <w:szCs w:val="21"/>
              </w:rPr>
            </w:pPr>
            <w:r>
              <w:rPr>
                <w:rFonts w:hint="eastAsia"/>
                <w:szCs w:val="21"/>
              </w:rPr>
              <w:t>东北经济区</w:t>
            </w:r>
          </w:p>
        </w:tc>
        <w:tc>
          <w:tcPr>
            <w:tcW w:w="880" w:type="dxa"/>
            <w:vAlign w:val="center"/>
          </w:tcPr>
          <w:p>
            <w:pPr>
              <w:pStyle w:val="52"/>
              <w:jc w:val="center"/>
              <w:rPr>
                <w:szCs w:val="21"/>
              </w:rPr>
            </w:pPr>
            <w:r>
              <w:rPr>
                <w:rFonts w:hint="eastAsia"/>
                <w:szCs w:val="21"/>
              </w:rPr>
              <w:t>北部沿海经济区</w:t>
            </w:r>
          </w:p>
        </w:tc>
        <w:tc>
          <w:tcPr>
            <w:tcW w:w="880" w:type="dxa"/>
            <w:vAlign w:val="center"/>
          </w:tcPr>
          <w:p>
            <w:pPr>
              <w:pStyle w:val="52"/>
              <w:jc w:val="center"/>
              <w:rPr>
                <w:szCs w:val="21"/>
              </w:rPr>
            </w:pPr>
            <w:r>
              <w:rPr>
                <w:rFonts w:hint="eastAsia"/>
                <w:szCs w:val="21"/>
              </w:rPr>
              <w:t>东部沿海经济区</w:t>
            </w:r>
          </w:p>
        </w:tc>
        <w:tc>
          <w:tcPr>
            <w:tcW w:w="880" w:type="dxa"/>
            <w:vAlign w:val="center"/>
          </w:tcPr>
          <w:p>
            <w:pPr>
              <w:pStyle w:val="52"/>
              <w:jc w:val="center"/>
              <w:rPr>
                <w:szCs w:val="21"/>
              </w:rPr>
            </w:pPr>
            <w:r>
              <w:rPr>
                <w:rFonts w:hint="eastAsia"/>
                <w:szCs w:val="21"/>
              </w:rPr>
              <w:t>南部沿海经济区</w:t>
            </w:r>
          </w:p>
        </w:tc>
        <w:tc>
          <w:tcPr>
            <w:tcW w:w="880" w:type="dxa"/>
            <w:vAlign w:val="center"/>
          </w:tcPr>
          <w:p>
            <w:pPr>
              <w:pStyle w:val="52"/>
              <w:jc w:val="center"/>
              <w:rPr>
                <w:szCs w:val="21"/>
              </w:rPr>
            </w:pPr>
            <w:r>
              <w:rPr>
                <w:rFonts w:hint="eastAsia"/>
                <w:szCs w:val="21"/>
              </w:rPr>
              <w:t>黄河中游经济区</w:t>
            </w:r>
          </w:p>
        </w:tc>
        <w:tc>
          <w:tcPr>
            <w:tcW w:w="880" w:type="dxa"/>
            <w:vAlign w:val="center"/>
          </w:tcPr>
          <w:p>
            <w:pPr>
              <w:pStyle w:val="52"/>
              <w:jc w:val="center"/>
              <w:rPr>
                <w:szCs w:val="21"/>
              </w:rPr>
            </w:pPr>
            <w:r>
              <w:rPr>
                <w:rFonts w:hint="eastAsia"/>
                <w:szCs w:val="21"/>
              </w:rPr>
              <w:t>长江中游经济区</w:t>
            </w:r>
          </w:p>
        </w:tc>
        <w:tc>
          <w:tcPr>
            <w:tcW w:w="740" w:type="dxa"/>
            <w:vAlign w:val="center"/>
          </w:tcPr>
          <w:p>
            <w:pPr>
              <w:pStyle w:val="52"/>
              <w:jc w:val="center"/>
              <w:rPr>
                <w:szCs w:val="21"/>
              </w:rPr>
            </w:pPr>
            <w:r>
              <w:rPr>
                <w:rFonts w:hint="eastAsia"/>
                <w:szCs w:val="21"/>
              </w:rPr>
              <w:t>西南经济区</w:t>
            </w:r>
          </w:p>
        </w:tc>
        <w:tc>
          <w:tcPr>
            <w:tcW w:w="740" w:type="dxa"/>
            <w:shd w:val="clear" w:color="auto" w:fill="auto"/>
            <w:vAlign w:val="center"/>
          </w:tcPr>
          <w:p>
            <w:pPr>
              <w:pStyle w:val="52"/>
              <w:jc w:val="center"/>
              <w:rPr>
                <w:szCs w:val="20"/>
              </w:rPr>
            </w:pPr>
            <w:r>
              <w:rPr>
                <w:rFonts w:hint="eastAsia"/>
                <w:szCs w:val="21"/>
              </w:rPr>
              <w:t>西北经济区</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09" w:type="dxa"/>
            <w:vMerge w:val="restart"/>
            <w:vAlign w:val="center"/>
          </w:tcPr>
          <w:p>
            <w:pPr>
              <w:pStyle w:val="52"/>
              <w:rPr>
                <w:szCs w:val="20"/>
              </w:rPr>
            </w:pPr>
            <w:r>
              <w:rPr>
                <w:rFonts w:hint="eastAsia"/>
                <w:szCs w:val="20"/>
              </w:rPr>
              <w:t>期望首选</w:t>
            </w:r>
          </w:p>
        </w:tc>
        <w:tc>
          <w:tcPr>
            <w:tcW w:w="1183" w:type="dxa"/>
            <w:shd w:val="clear" w:color="auto" w:fill="auto"/>
            <w:vAlign w:val="center"/>
          </w:tcPr>
          <w:p>
            <w:pPr>
              <w:pStyle w:val="52"/>
              <w:rPr>
                <w:szCs w:val="20"/>
              </w:rPr>
            </w:pPr>
            <w:r>
              <w:rPr>
                <w:rFonts w:hint="eastAsia"/>
                <w:szCs w:val="21"/>
              </w:rPr>
              <w:t>北京生源</w:t>
            </w:r>
          </w:p>
        </w:tc>
        <w:tc>
          <w:tcPr>
            <w:tcW w:w="531" w:type="dxa"/>
            <w:shd w:val="clear" w:color="auto" w:fill="auto"/>
            <w:vAlign w:val="center"/>
          </w:tcPr>
          <w:p>
            <w:pPr>
              <w:pStyle w:val="52"/>
              <w:jc w:val="center"/>
              <w:rPr>
                <w:szCs w:val="20"/>
              </w:rPr>
            </w:pPr>
            <w:r>
              <w:rPr>
                <w:szCs w:val="21"/>
              </w:rPr>
              <w:t>8</w:t>
            </w:r>
          </w:p>
        </w:tc>
        <w:tc>
          <w:tcPr>
            <w:tcW w:w="811" w:type="dxa"/>
            <w:vAlign w:val="center"/>
          </w:tcPr>
          <w:p>
            <w:pPr>
              <w:pStyle w:val="52"/>
              <w:jc w:val="center"/>
              <w:rPr>
                <w:szCs w:val="21"/>
              </w:rPr>
            </w:pPr>
            <w:r>
              <w:rPr>
                <w:szCs w:val="21"/>
              </w:rPr>
              <w:t>100.0</w:t>
            </w:r>
          </w:p>
        </w:tc>
        <w:tc>
          <w:tcPr>
            <w:tcW w:w="74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740" w:type="dxa"/>
            <w:vAlign w:val="center"/>
          </w:tcPr>
          <w:p>
            <w:pPr>
              <w:pStyle w:val="52"/>
              <w:jc w:val="center"/>
              <w:rPr>
                <w:szCs w:val="21"/>
              </w:rPr>
            </w:pPr>
            <w:r>
              <w:rPr>
                <w:szCs w:val="21"/>
              </w:rPr>
              <w:t>0.0</w:t>
            </w:r>
          </w:p>
        </w:tc>
        <w:tc>
          <w:tcPr>
            <w:tcW w:w="740"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09" w:type="dxa"/>
            <w:vMerge w:val="continue"/>
            <w:vAlign w:val="center"/>
          </w:tcPr>
          <w:p>
            <w:pPr>
              <w:pStyle w:val="52"/>
              <w:rPr>
                <w:szCs w:val="20"/>
              </w:rPr>
            </w:pPr>
          </w:p>
        </w:tc>
        <w:tc>
          <w:tcPr>
            <w:tcW w:w="1183" w:type="dxa"/>
            <w:shd w:val="clear" w:color="auto" w:fill="auto"/>
            <w:vAlign w:val="center"/>
          </w:tcPr>
          <w:p>
            <w:pPr>
              <w:pStyle w:val="52"/>
              <w:rPr>
                <w:szCs w:val="21"/>
              </w:rPr>
            </w:pPr>
            <w:r>
              <w:rPr>
                <w:rFonts w:hint="eastAsia"/>
                <w:szCs w:val="21"/>
              </w:rPr>
              <w:t>京外生源</w:t>
            </w:r>
          </w:p>
        </w:tc>
        <w:tc>
          <w:tcPr>
            <w:tcW w:w="531" w:type="dxa"/>
            <w:shd w:val="clear" w:color="auto" w:fill="auto"/>
            <w:vAlign w:val="center"/>
          </w:tcPr>
          <w:p>
            <w:pPr>
              <w:pStyle w:val="52"/>
              <w:jc w:val="center"/>
              <w:rPr>
                <w:szCs w:val="21"/>
              </w:rPr>
            </w:pPr>
            <w:r>
              <w:rPr>
                <w:szCs w:val="21"/>
              </w:rPr>
              <w:t>121</w:t>
            </w:r>
          </w:p>
        </w:tc>
        <w:tc>
          <w:tcPr>
            <w:tcW w:w="811" w:type="dxa"/>
            <w:vAlign w:val="center"/>
          </w:tcPr>
          <w:p>
            <w:pPr>
              <w:pStyle w:val="52"/>
              <w:jc w:val="center"/>
              <w:rPr>
                <w:szCs w:val="21"/>
              </w:rPr>
            </w:pPr>
            <w:r>
              <w:rPr>
                <w:szCs w:val="21"/>
              </w:rPr>
              <w:t>95.9</w:t>
            </w:r>
          </w:p>
        </w:tc>
        <w:tc>
          <w:tcPr>
            <w:tcW w:w="74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1.7</w:t>
            </w:r>
          </w:p>
        </w:tc>
        <w:tc>
          <w:tcPr>
            <w:tcW w:w="880" w:type="dxa"/>
            <w:vAlign w:val="center"/>
          </w:tcPr>
          <w:p>
            <w:pPr>
              <w:pStyle w:val="52"/>
              <w:jc w:val="center"/>
              <w:rPr>
                <w:szCs w:val="21"/>
              </w:rPr>
            </w:pPr>
            <w:r>
              <w:rPr>
                <w:szCs w:val="21"/>
              </w:rPr>
              <w:t>1.7</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0.8</w:t>
            </w:r>
          </w:p>
        </w:tc>
        <w:tc>
          <w:tcPr>
            <w:tcW w:w="740" w:type="dxa"/>
            <w:vAlign w:val="center"/>
          </w:tcPr>
          <w:p>
            <w:pPr>
              <w:pStyle w:val="52"/>
              <w:jc w:val="center"/>
              <w:rPr>
                <w:szCs w:val="21"/>
              </w:rPr>
            </w:pPr>
            <w:r>
              <w:rPr>
                <w:szCs w:val="21"/>
              </w:rPr>
              <w:t>0.0</w:t>
            </w:r>
          </w:p>
        </w:tc>
        <w:tc>
          <w:tcPr>
            <w:tcW w:w="740"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709" w:type="dxa"/>
            <w:vMerge w:val="restart"/>
            <w:vAlign w:val="center"/>
          </w:tcPr>
          <w:p>
            <w:pPr>
              <w:pStyle w:val="52"/>
              <w:rPr>
                <w:szCs w:val="20"/>
              </w:rPr>
            </w:pPr>
            <w:r>
              <w:rPr>
                <w:rFonts w:hint="eastAsia"/>
                <w:szCs w:val="20"/>
              </w:rPr>
              <w:t>最终落实</w:t>
            </w:r>
          </w:p>
        </w:tc>
        <w:tc>
          <w:tcPr>
            <w:tcW w:w="1183" w:type="dxa"/>
            <w:shd w:val="clear" w:color="auto" w:fill="auto"/>
            <w:vAlign w:val="center"/>
          </w:tcPr>
          <w:p>
            <w:pPr>
              <w:pStyle w:val="52"/>
              <w:rPr>
                <w:szCs w:val="21"/>
              </w:rPr>
            </w:pPr>
            <w:r>
              <w:rPr>
                <w:rFonts w:hint="eastAsia"/>
                <w:szCs w:val="21"/>
              </w:rPr>
              <w:t>北京生源</w:t>
            </w:r>
          </w:p>
        </w:tc>
        <w:tc>
          <w:tcPr>
            <w:tcW w:w="531" w:type="dxa"/>
            <w:shd w:val="clear" w:color="auto" w:fill="auto"/>
            <w:vAlign w:val="center"/>
          </w:tcPr>
          <w:p>
            <w:pPr>
              <w:pStyle w:val="52"/>
              <w:jc w:val="center"/>
              <w:rPr>
                <w:szCs w:val="21"/>
              </w:rPr>
            </w:pPr>
            <w:r>
              <w:rPr>
                <w:szCs w:val="21"/>
              </w:rPr>
              <w:t>8</w:t>
            </w:r>
          </w:p>
        </w:tc>
        <w:tc>
          <w:tcPr>
            <w:tcW w:w="811" w:type="dxa"/>
            <w:vAlign w:val="center"/>
          </w:tcPr>
          <w:p>
            <w:pPr>
              <w:pStyle w:val="52"/>
              <w:jc w:val="center"/>
              <w:rPr>
                <w:szCs w:val="21"/>
              </w:rPr>
            </w:pPr>
            <w:r>
              <w:rPr>
                <w:szCs w:val="21"/>
              </w:rPr>
              <w:t>100.0</w:t>
            </w:r>
          </w:p>
        </w:tc>
        <w:tc>
          <w:tcPr>
            <w:tcW w:w="74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740" w:type="dxa"/>
            <w:vAlign w:val="center"/>
          </w:tcPr>
          <w:p>
            <w:pPr>
              <w:pStyle w:val="52"/>
              <w:jc w:val="center"/>
              <w:rPr>
                <w:szCs w:val="21"/>
              </w:rPr>
            </w:pPr>
            <w:r>
              <w:rPr>
                <w:szCs w:val="21"/>
              </w:rPr>
              <w:t>0.0</w:t>
            </w:r>
          </w:p>
        </w:tc>
        <w:tc>
          <w:tcPr>
            <w:tcW w:w="740"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709" w:type="dxa"/>
            <w:vMerge w:val="continue"/>
            <w:vAlign w:val="center"/>
          </w:tcPr>
          <w:p>
            <w:pPr>
              <w:pStyle w:val="52"/>
              <w:rPr>
                <w:szCs w:val="20"/>
              </w:rPr>
            </w:pPr>
          </w:p>
        </w:tc>
        <w:tc>
          <w:tcPr>
            <w:tcW w:w="1183" w:type="dxa"/>
            <w:shd w:val="clear" w:color="auto" w:fill="auto"/>
            <w:vAlign w:val="center"/>
          </w:tcPr>
          <w:p>
            <w:pPr>
              <w:pStyle w:val="52"/>
              <w:rPr>
                <w:szCs w:val="21"/>
              </w:rPr>
            </w:pPr>
            <w:r>
              <w:rPr>
                <w:rFonts w:hint="eastAsia"/>
                <w:szCs w:val="21"/>
              </w:rPr>
              <w:t>京外生源</w:t>
            </w:r>
          </w:p>
        </w:tc>
        <w:tc>
          <w:tcPr>
            <w:tcW w:w="531" w:type="dxa"/>
            <w:shd w:val="clear" w:color="auto" w:fill="auto"/>
            <w:vAlign w:val="center"/>
          </w:tcPr>
          <w:p>
            <w:pPr>
              <w:pStyle w:val="52"/>
              <w:jc w:val="center"/>
              <w:rPr>
                <w:szCs w:val="21"/>
              </w:rPr>
            </w:pPr>
            <w:r>
              <w:rPr>
                <w:szCs w:val="21"/>
              </w:rPr>
              <w:t>115</w:t>
            </w:r>
          </w:p>
        </w:tc>
        <w:tc>
          <w:tcPr>
            <w:tcW w:w="811" w:type="dxa"/>
            <w:vAlign w:val="center"/>
          </w:tcPr>
          <w:p>
            <w:pPr>
              <w:pStyle w:val="52"/>
              <w:jc w:val="center"/>
              <w:rPr>
                <w:szCs w:val="21"/>
              </w:rPr>
            </w:pPr>
            <w:r>
              <w:rPr>
                <w:szCs w:val="21"/>
              </w:rPr>
              <w:t>96.5</w:t>
            </w:r>
          </w:p>
        </w:tc>
        <w:tc>
          <w:tcPr>
            <w:tcW w:w="74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1.7</w:t>
            </w:r>
          </w:p>
        </w:tc>
        <w:tc>
          <w:tcPr>
            <w:tcW w:w="880" w:type="dxa"/>
            <w:vAlign w:val="center"/>
          </w:tcPr>
          <w:p>
            <w:pPr>
              <w:pStyle w:val="52"/>
              <w:jc w:val="center"/>
              <w:rPr>
                <w:szCs w:val="21"/>
              </w:rPr>
            </w:pPr>
            <w:r>
              <w:rPr>
                <w:szCs w:val="21"/>
              </w:rPr>
              <w:t>0.9</w:t>
            </w:r>
          </w:p>
        </w:tc>
        <w:tc>
          <w:tcPr>
            <w:tcW w:w="880" w:type="dxa"/>
            <w:vAlign w:val="center"/>
          </w:tcPr>
          <w:p>
            <w:pPr>
              <w:pStyle w:val="52"/>
              <w:jc w:val="center"/>
              <w:rPr>
                <w:szCs w:val="21"/>
              </w:rPr>
            </w:pPr>
            <w:r>
              <w:rPr>
                <w:szCs w:val="21"/>
              </w:rPr>
              <w:t>0.0</w:t>
            </w:r>
          </w:p>
        </w:tc>
        <w:tc>
          <w:tcPr>
            <w:tcW w:w="880" w:type="dxa"/>
            <w:vAlign w:val="center"/>
          </w:tcPr>
          <w:p>
            <w:pPr>
              <w:pStyle w:val="52"/>
              <w:jc w:val="center"/>
              <w:rPr>
                <w:szCs w:val="21"/>
              </w:rPr>
            </w:pPr>
            <w:r>
              <w:rPr>
                <w:szCs w:val="21"/>
              </w:rPr>
              <w:t>0.9</w:t>
            </w:r>
          </w:p>
        </w:tc>
        <w:tc>
          <w:tcPr>
            <w:tcW w:w="740" w:type="dxa"/>
            <w:vAlign w:val="center"/>
          </w:tcPr>
          <w:p>
            <w:pPr>
              <w:pStyle w:val="52"/>
              <w:jc w:val="center"/>
              <w:rPr>
                <w:szCs w:val="21"/>
              </w:rPr>
            </w:pPr>
            <w:r>
              <w:rPr>
                <w:szCs w:val="21"/>
              </w:rPr>
              <w:t>0.0</w:t>
            </w:r>
          </w:p>
        </w:tc>
        <w:tc>
          <w:tcPr>
            <w:tcW w:w="740" w:type="dxa"/>
            <w:shd w:val="clear" w:color="auto" w:fill="auto"/>
            <w:vAlign w:val="center"/>
          </w:tcPr>
          <w:p>
            <w:pPr>
              <w:pStyle w:val="52"/>
              <w:jc w:val="center"/>
              <w:rPr>
                <w:szCs w:val="21"/>
              </w:rPr>
            </w:pPr>
            <w:r>
              <w:rPr>
                <w:szCs w:val="21"/>
              </w:rPr>
              <w:t>0.0</w:t>
            </w:r>
          </w:p>
        </w:tc>
      </w:tr>
    </w:tbl>
    <w:p>
      <w:pPr>
        <w:pStyle w:val="70"/>
      </w:pPr>
      <w:r>
        <w:rPr>
          <w:rFonts w:hint="eastAsia"/>
        </w:rPr>
        <w:t>（3）不同专业本科生就业地区</w:t>
      </w:r>
    </w:p>
    <w:p>
      <w:pPr>
        <w:pStyle w:val="37"/>
        <w:ind w:firstLine="480"/>
      </w:pPr>
      <w:r>
        <w:rPr>
          <w:rFonts w:hint="eastAsia"/>
        </w:rPr>
        <w:t>就不同专业而言，本科生最终落实在京就业的比例高于期望比例的为制片管理；本科生最终落实在京就业的比例与期望的比例完全相同的为表演、导演、电视剧创作等12个专业；本科生最终落实在京就业的比例低于期望比例的为播音与主持。</w:t>
      </w:r>
    </w:p>
    <w:p>
      <w:pPr>
        <w:pStyle w:val="53"/>
        <w:spacing w:before="312" w:after="156"/>
      </w:pPr>
      <w:r>
        <w:rPr>
          <w:rFonts w:hint="eastAsia"/>
        </w:rPr>
        <w:t>不同专业本科生期望首选与最终落实就业地区（1）</w:t>
      </w:r>
    </w:p>
    <w:tbl>
      <w:tblPr>
        <w:tblStyle w:val="33"/>
        <w:tblW w:w="697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266"/>
        <w:gridCol w:w="426"/>
        <w:gridCol w:w="105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26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224" w:type="dxa"/>
            <w:gridSpan w:val="4"/>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26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北京就业</w:t>
            </w:r>
          </w:p>
        </w:tc>
        <w:tc>
          <w:tcPr>
            <w:tcW w:w="1056" w:type="dxa"/>
            <w:vAlign w:val="center"/>
          </w:tcPr>
          <w:p>
            <w:pPr>
              <w:pStyle w:val="52"/>
              <w:jc w:val="center"/>
              <w:rPr>
                <w:szCs w:val="21"/>
              </w:rPr>
            </w:pPr>
            <w:r>
              <w:rPr>
                <w:rFonts w:hint="eastAsia"/>
                <w:szCs w:val="21"/>
              </w:rPr>
              <w:t>东部就业</w:t>
            </w:r>
          </w:p>
        </w:tc>
        <w:tc>
          <w:tcPr>
            <w:tcW w:w="1056" w:type="dxa"/>
            <w:vAlign w:val="center"/>
          </w:tcPr>
          <w:p>
            <w:pPr>
              <w:pStyle w:val="52"/>
              <w:jc w:val="center"/>
              <w:rPr>
                <w:szCs w:val="21"/>
              </w:rPr>
            </w:pPr>
            <w:r>
              <w:rPr>
                <w:rFonts w:hint="eastAsia"/>
                <w:szCs w:val="21"/>
              </w:rPr>
              <w:t>中部就业</w:t>
            </w:r>
          </w:p>
        </w:tc>
        <w:tc>
          <w:tcPr>
            <w:tcW w:w="1056" w:type="dxa"/>
            <w:shd w:val="clear" w:color="auto" w:fill="auto"/>
            <w:vAlign w:val="center"/>
          </w:tcPr>
          <w:p>
            <w:pPr>
              <w:pStyle w:val="52"/>
              <w:jc w:val="center"/>
              <w:rPr>
                <w:szCs w:val="20"/>
              </w:rPr>
            </w:pPr>
            <w:r>
              <w:rPr>
                <w:rFonts w:hint="eastAsia"/>
                <w:szCs w:val="21"/>
              </w:rPr>
              <w:t>西部就业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266" w:type="dxa"/>
            <w:shd w:val="clear" w:color="auto" w:fill="auto"/>
            <w:vAlign w:val="center"/>
          </w:tcPr>
          <w:p>
            <w:pPr>
              <w:pStyle w:val="52"/>
              <w:rPr>
                <w:szCs w:val="20"/>
              </w:rPr>
            </w:pPr>
            <w:r>
              <w:rPr>
                <w:rFonts w:hint="eastAsia"/>
                <w:szCs w:val="21"/>
              </w:rPr>
              <w:t>表演</w:t>
            </w:r>
          </w:p>
        </w:tc>
        <w:tc>
          <w:tcPr>
            <w:tcW w:w="426" w:type="dxa"/>
            <w:shd w:val="clear" w:color="auto" w:fill="auto"/>
            <w:vAlign w:val="center"/>
          </w:tcPr>
          <w:p>
            <w:pPr>
              <w:pStyle w:val="52"/>
              <w:jc w:val="center"/>
              <w:rPr>
                <w:szCs w:val="20"/>
              </w:rPr>
            </w:pPr>
            <w:r>
              <w:rPr>
                <w:szCs w:val="21"/>
              </w:rPr>
              <w:t>34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1056" w:type="dxa"/>
            <w:vAlign w:val="center"/>
          </w:tcPr>
          <w:p>
            <w:pPr>
              <w:pStyle w:val="52"/>
              <w:jc w:val="center"/>
              <w:rPr>
                <w:szCs w:val="21"/>
              </w:rPr>
            </w:pPr>
            <w:r>
              <w:rPr>
                <w:szCs w:val="21"/>
              </w:rPr>
              <w:t>84.6</w:t>
            </w:r>
          </w:p>
        </w:tc>
        <w:tc>
          <w:tcPr>
            <w:tcW w:w="1056" w:type="dxa"/>
            <w:vAlign w:val="center"/>
          </w:tcPr>
          <w:p>
            <w:pPr>
              <w:pStyle w:val="52"/>
              <w:jc w:val="center"/>
              <w:rPr>
                <w:szCs w:val="21"/>
              </w:rPr>
            </w:pPr>
            <w:r>
              <w:rPr>
                <w:szCs w:val="21"/>
              </w:rPr>
              <w:t>7.7</w:t>
            </w:r>
          </w:p>
        </w:tc>
        <w:tc>
          <w:tcPr>
            <w:tcW w:w="1056" w:type="dxa"/>
            <w:vAlign w:val="center"/>
          </w:tcPr>
          <w:p>
            <w:pPr>
              <w:pStyle w:val="52"/>
              <w:jc w:val="center"/>
              <w:rPr>
                <w:szCs w:val="21"/>
              </w:rPr>
            </w:pPr>
            <w:r>
              <w:rPr>
                <w:szCs w:val="21"/>
              </w:rPr>
              <w:t>7.7</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1056" w:type="dxa"/>
            <w:vAlign w:val="center"/>
          </w:tcPr>
          <w:p>
            <w:pPr>
              <w:pStyle w:val="52"/>
              <w:jc w:val="center"/>
              <w:rPr>
                <w:szCs w:val="21"/>
              </w:rPr>
            </w:pPr>
            <w:r>
              <w:rPr>
                <w:szCs w:val="21"/>
              </w:rPr>
              <w:t>91.7</w:t>
            </w:r>
          </w:p>
        </w:tc>
        <w:tc>
          <w:tcPr>
            <w:tcW w:w="1056" w:type="dxa"/>
            <w:vAlign w:val="center"/>
          </w:tcPr>
          <w:p>
            <w:pPr>
              <w:pStyle w:val="52"/>
              <w:jc w:val="center"/>
              <w:rPr>
                <w:szCs w:val="21"/>
              </w:rPr>
            </w:pPr>
            <w:r>
              <w:rPr>
                <w:szCs w:val="21"/>
              </w:rPr>
              <w:t>8.3</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8</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1056" w:type="dxa"/>
            <w:vAlign w:val="center"/>
          </w:tcPr>
          <w:p>
            <w:pPr>
              <w:pStyle w:val="52"/>
              <w:jc w:val="center"/>
              <w:rPr>
                <w:szCs w:val="21"/>
              </w:rPr>
            </w:pPr>
            <w:r>
              <w:rPr>
                <w:szCs w:val="21"/>
              </w:rPr>
              <w:t>85.7</w:t>
            </w:r>
          </w:p>
        </w:tc>
        <w:tc>
          <w:tcPr>
            <w:tcW w:w="1056" w:type="dxa"/>
            <w:vAlign w:val="center"/>
          </w:tcPr>
          <w:p>
            <w:pPr>
              <w:pStyle w:val="52"/>
              <w:jc w:val="center"/>
              <w:rPr>
                <w:szCs w:val="21"/>
              </w:rPr>
            </w:pPr>
            <w:r>
              <w:rPr>
                <w:szCs w:val="21"/>
              </w:rPr>
              <w:t>14.3</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266" w:type="dxa"/>
            <w:shd w:val="clear" w:color="auto" w:fill="auto"/>
            <w:vAlign w:val="center"/>
          </w:tcPr>
          <w:p>
            <w:pPr>
              <w:pStyle w:val="52"/>
              <w:rPr>
                <w:szCs w:val="21"/>
              </w:rPr>
            </w:pPr>
            <w:r>
              <w:rPr>
                <w:rFonts w:hint="eastAsia"/>
                <w:szCs w:val="21"/>
              </w:rPr>
              <w:t>表演</w:t>
            </w:r>
          </w:p>
        </w:tc>
        <w:tc>
          <w:tcPr>
            <w:tcW w:w="426" w:type="dxa"/>
            <w:shd w:val="clear" w:color="auto" w:fill="auto"/>
            <w:vAlign w:val="center"/>
          </w:tcPr>
          <w:p>
            <w:pPr>
              <w:pStyle w:val="52"/>
              <w:jc w:val="center"/>
              <w:rPr>
                <w:szCs w:val="21"/>
              </w:rPr>
            </w:pPr>
            <w:r>
              <w:rPr>
                <w:szCs w:val="21"/>
              </w:rPr>
              <w:t>29</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1056" w:type="dxa"/>
            <w:vAlign w:val="center"/>
          </w:tcPr>
          <w:p>
            <w:pPr>
              <w:pStyle w:val="52"/>
              <w:jc w:val="center"/>
              <w:rPr>
                <w:szCs w:val="21"/>
              </w:rPr>
            </w:pPr>
            <w:r>
              <w:rPr>
                <w:szCs w:val="21"/>
              </w:rPr>
              <w:t>76.9</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7.7</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1056" w:type="dxa"/>
            <w:vAlign w:val="center"/>
          </w:tcPr>
          <w:p>
            <w:pPr>
              <w:pStyle w:val="52"/>
              <w:jc w:val="center"/>
              <w:rPr>
                <w:szCs w:val="21"/>
              </w:rPr>
            </w:pPr>
            <w:r>
              <w:rPr>
                <w:szCs w:val="21"/>
              </w:rPr>
              <w:t>91.7</w:t>
            </w:r>
          </w:p>
        </w:tc>
        <w:tc>
          <w:tcPr>
            <w:tcW w:w="1056" w:type="dxa"/>
            <w:vAlign w:val="center"/>
          </w:tcPr>
          <w:p>
            <w:pPr>
              <w:pStyle w:val="52"/>
              <w:jc w:val="center"/>
              <w:rPr>
                <w:szCs w:val="21"/>
              </w:rPr>
            </w:pPr>
            <w:r>
              <w:rPr>
                <w:szCs w:val="21"/>
              </w:rPr>
              <w:t>8.3</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7</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bl>
    <w:p>
      <w:pPr>
        <w:pStyle w:val="53"/>
        <w:spacing w:before="312" w:after="156"/>
      </w:pPr>
      <w:r>
        <w:rPr>
          <w:rFonts w:hint="eastAsia"/>
        </w:rPr>
        <w:t>不同专业本科生期望首选与最终落实就业地区（2）</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427"/>
        <w:gridCol w:w="2043"/>
        <w:gridCol w:w="426"/>
        <w:gridCol w:w="788"/>
        <w:gridCol w:w="691"/>
        <w:gridCol w:w="804"/>
        <w:gridCol w:w="881"/>
        <w:gridCol w:w="804"/>
        <w:gridCol w:w="804"/>
        <w:gridCol w:w="804"/>
        <w:gridCol w:w="691"/>
        <w:gridCol w:w="691"/>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427" w:type="dxa"/>
            <w:vMerge w:val="restart"/>
            <w:tcBorders>
              <w:right w:val="dotted" w:color="00B050" w:sz="8" w:space="0"/>
            </w:tcBorders>
            <w:shd w:val="clear" w:color="auto" w:fill="auto"/>
            <w:vAlign w:val="center"/>
          </w:tcPr>
          <w:p>
            <w:pPr>
              <w:pStyle w:val="52"/>
              <w:ind w:firstLine="480"/>
              <w:jc w:val="center"/>
              <w:rPr>
                <w:szCs w:val="20"/>
              </w:rPr>
            </w:pPr>
          </w:p>
        </w:tc>
        <w:tc>
          <w:tcPr>
            <w:tcW w:w="2043"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6958" w:type="dxa"/>
            <w:gridSpan w:val="9"/>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427" w:type="dxa"/>
            <w:vMerge w:val="continue"/>
            <w:tcBorders>
              <w:right w:val="dotted" w:color="00B050" w:sz="8" w:space="0"/>
            </w:tcBorders>
            <w:shd w:val="clear" w:color="auto" w:fill="auto"/>
            <w:vAlign w:val="center"/>
          </w:tcPr>
          <w:p>
            <w:pPr>
              <w:pStyle w:val="52"/>
              <w:jc w:val="center"/>
              <w:rPr>
                <w:szCs w:val="20"/>
              </w:rPr>
            </w:pPr>
          </w:p>
        </w:tc>
        <w:tc>
          <w:tcPr>
            <w:tcW w:w="2043"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788" w:type="dxa"/>
            <w:vAlign w:val="center"/>
          </w:tcPr>
          <w:p>
            <w:pPr>
              <w:pStyle w:val="52"/>
              <w:jc w:val="center"/>
              <w:rPr>
                <w:szCs w:val="21"/>
              </w:rPr>
            </w:pPr>
            <w:r>
              <w:rPr>
                <w:rFonts w:hint="eastAsia"/>
                <w:szCs w:val="21"/>
              </w:rPr>
              <w:t>北京地区</w:t>
            </w:r>
          </w:p>
        </w:tc>
        <w:tc>
          <w:tcPr>
            <w:tcW w:w="691" w:type="dxa"/>
            <w:vAlign w:val="center"/>
          </w:tcPr>
          <w:p>
            <w:pPr>
              <w:pStyle w:val="52"/>
              <w:jc w:val="center"/>
              <w:rPr>
                <w:szCs w:val="21"/>
              </w:rPr>
            </w:pPr>
            <w:r>
              <w:rPr>
                <w:rFonts w:hint="eastAsia"/>
                <w:szCs w:val="21"/>
              </w:rPr>
              <w:t>东北经济区</w:t>
            </w:r>
          </w:p>
        </w:tc>
        <w:tc>
          <w:tcPr>
            <w:tcW w:w="804" w:type="dxa"/>
            <w:vAlign w:val="center"/>
          </w:tcPr>
          <w:p>
            <w:pPr>
              <w:pStyle w:val="52"/>
              <w:jc w:val="center"/>
              <w:rPr>
                <w:szCs w:val="21"/>
              </w:rPr>
            </w:pPr>
            <w:r>
              <w:rPr>
                <w:rFonts w:hint="eastAsia"/>
                <w:szCs w:val="21"/>
              </w:rPr>
              <w:t>北部沿海经济区</w:t>
            </w:r>
          </w:p>
        </w:tc>
        <w:tc>
          <w:tcPr>
            <w:tcW w:w="881" w:type="dxa"/>
            <w:vAlign w:val="center"/>
          </w:tcPr>
          <w:p>
            <w:pPr>
              <w:pStyle w:val="52"/>
              <w:jc w:val="center"/>
              <w:rPr>
                <w:szCs w:val="21"/>
              </w:rPr>
            </w:pPr>
            <w:r>
              <w:rPr>
                <w:rFonts w:hint="eastAsia"/>
                <w:szCs w:val="21"/>
              </w:rPr>
              <w:t>东部沿海经济区</w:t>
            </w:r>
          </w:p>
        </w:tc>
        <w:tc>
          <w:tcPr>
            <w:tcW w:w="804" w:type="dxa"/>
            <w:vAlign w:val="center"/>
          </w:tcPr>
          <w:p>
            <w:pPr>
              <w:pStyle w:val="52"/>
              <w:jc w:val="center"/>
              <w:rPr>
                <w:szCs w:val="21"/>
              </w:rPr>
            </w:pPr>
            <w:r>
              <w:rPr>
                <w:rFonts w:hint="eastAsia"/>
                <w:szCs w:val="21"/>
              </w:rPr>
              <w:t>南部沿海经济区</w:t>
            </w:r>
          </w:p>
        </w:tc>
        <w:tc>
          <w:tcPr>
            <w:tcW w:w="804" w:type="dxa"/>
            <w:vAlign w:val="center"/>
          </w:tcPr>
          <w:p>
            <w:pPr>
              <w:pStyle w:val="52"/>
              <w:jc w:val="center"/>
              <w:rPr>
                <w:szCs w:val="21"/>
              </w:rPr>
            </w:pPr>
            <w:r>
              <w:rPr>
                <w:rFonts w:hint="eastAsia"/>
                <w:szCs w:val="21"/>
              </w:rPr>
              <w:t>黄河中游经济区</w:t>
            </w:r>
          </w:p>
        </w:tc>
        <w:tc>
          <w:tcPr>
            <w:tcW w:w="804" w:type="dxa"/>
            <w:vAlign w:val="center"/>
          </w:tcPr>
          <w:p>
            <w:pPr>
              <w:pStyle w:val="52"/>
              <w:jc w:val="center"/>
              <w:rPr>
                <w:szCs w:val="21"/>
              </w:rPr>
            </w:pPr>
            <w:r>
              <w:rPr>
                <w:rFonts w:hint="eastAsia"/>
                <w:szCs w:val="21"/>
              </w:rPr>
              <w:t>长江中游经济区</w:t>
            </w:r>
          </w:p>
        </w:tc>
        <w:tc>
          <w:tcPr>
            <w:tcW w:w="691" w:type="dxa"/>
            <w:vAlign w:val="center"/>
          </w:tcPr>
          <w:p>
            <w:pPr>
              <w:pStyle w:val="52"/>
              <w:jc w:val="center"/>
              <w:rPr>
                <w:szCs w:val="21"/>
              </w:rPr>
            </w:pPr>
            <w:r>
              <w:rPr>
                <w:rFonts w:hint="eastAsia"/>
                <w:szCs w:val="21"/>
              </w:rPr>
              <w:t>西南经济区</w:t>
            </w:r>
          </w:p>
        </w:tc>
        <w:tc>
          <w:tcPr>
            <w:tcW w:w="691" w:type="dxa"/>
            <w:shd w:val="clear" w:color="auto" w:fill="auto"/>
            <w:vAlign w:val="center"/>
          </w:tcPr>
          <w:p>
            <w:pPr>
              <w:pStyle w:val="52"/>
              <w:jc w:val="center"/>
              <w:rPr>
                <w:szCs w:val="20"/>
              </w:rPr>
            </w:pPr>
            <w:r>
              <w:rPr>
                <w:rFonts w:hint="eastAsia"/>
                <w:szCs w:val="21"/>
              </w:rPr>
              <w:t>西北经济区</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restart"/>
            <w:vAlign w:val="center"/>
          </w:tcPr>
          <w:p>
            <w:pPr>
              <w:pStyle w:val="52"/>
              <w:rPr>
                <w:szCs w:val="20"/>
              </w:rPr>
            </w:pPr>
            <w:r>
              <w:rPr>
                <w:rFonts w:hint="eastAsia"/>
                <w:szCs w:val="20"/>
              </w:rPr>
              <w:t>期望首选</w:t>
            </w:r>
          </w:p>
        </w:tc>
        <w:tc>
          <w:tcPr>
            <w:tcW w:w="2043" w:type="dxa"/>
            <w:shd w:val="clear" w:color="auto" w:fill="auto"/>
            <w:vAlign w:val="center"/>
          </w:tcPr>
          <w:p>
            <w:pPr>
              <w:pStyle w:val="52"/>
              <w:rPr>
                <w:szCs w:val="20"/>
              </w:rPr>
            </w:pPr>
            <w:r>
              <w:rPr>
                <w:rFonts w:hint="eastAsia"/>
                <w:szCs w:val="21"/>
              </w:rPr>
              <w:t>表演</w:t>
            </w:r>
          </w:p>
        </w:tc>
        <w:tc>
          <w:tcPr>
            <w:tcW w:w="426" w:type="dxa"/>
            <w:shd w:val="clear" w:color="auto" w:fill="auto"/>
            <w:vAlign w:val="center"/>
          </w:tcPr>
          <w:p>
            <w:pPr>
              <w:pStyle w:val="52"/>
              <w:jc w:val="center"/>
              <w:rPr>
                <w:szCs w:val="20"/>
              </w:rPr>
            </w:pPr>
            <w:r>
              <w:rPr>
                <w:szCs w:val="21"/>
              </w:rPr>
              <w:t>34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788" w:type="dxa"/>
            <w:vAlign w:val="center"/>
          </w:tcPr>
          <w:p>
            <w:pPr>
              <w:pStyle w:val="52"/>
              <w:jc w:val="center"/>
              <w:rPr>
                <w:szCs w:val="21"/>
              </w:rPr>
            </w:pPr>
            <w:r>
              <w:rPr>
                <w:szCs w:val="21"/>
              </w:rPr>
              <w:t>84.6</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7.7</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7.7</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788" w:type="dxa"/>
            <w:vAlign w:val="center"/>
          </w:tcPr>
          <w:p>
            <w:pPr>
              <w:pStyle w:val="52"/>
              <w:jc w:val="center"/>
              <w:rPr>
                <w:szCs w:val="21"/>
              </w:rPr>
            </w:pPr>
            <w:r>
              <w:rPr>
                <w:szCs w:val="21"/>
              </w:rPr>
              <w:t>91.7</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8.3</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8</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788" w:type="dxa"/>
            <w:vAlign w:val="center"/>
          </w:tcPr>
          <w:p>
            <w:pPr>
              <w:pStyle w:val="52"/>
              <w:jc w:val="center"/>
              <w:rPr>
                <w:szCs w:val="21"/>
              </w:rPr>
            </w:pPr>
            <w:r>
              <w:rPr>
                <w:szCs w:val="21"/>
              </w:rPr>
              <w:t>85.7</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7.1</w:t>
            </w:r>
          </w:p>
        </w:tc>
        <w:tc>
          <w:tcPr>
            <w:tcW w:w="804" w:type="dxa"/>
            <w:vAlign w:val="center"/>
          </w:tcPr>
          <w:p>
            <w:pPr>
              <w:pStyle w:val="52"/>
              <w:jc w:val="center"/>
              <w:rPr>
                <w:szCs w:val="21"/>
              </w:rPr>
            </w:pPr>
            <w:r>
              <w:rPr>
                <w:szCs w:val="21"/>
              </w:rPr>
              <w:t>7.1</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restart"/>
            <w:vAlign w:val="center"/>
          </w:tcPr>
          <w:p>
            <w:pPr>
              <w:pStyle w:val="52"/>
              <w:rPr>
                <w:szCs w:val="20"/>
              </w:rPr>
            </w:pPr>
            <w:r>
              <w:rPr>
                <w:rFonts w:hint="eastAsia"/>
                <w:szCs w:val="20"/>
              </w:rPr>
              <w:t>最终落实</w:t>
            </w:r>
          </w:p>
        </w:tc>
        <w:tc>
          <w:tcPr>
            <w:tcW w:w="2043" w:type="dxa"/>
            <w:shd w:val="clear" w:color="auto" w:fill="auto"/>
            <w:vAlign w:val="center"/>
          </w:tcPr>
          <w:p>
            <w:pPr>
              <w:pStyle w:val="52"/>
              <w:rPr>
                <w:szCs w:val="21"/>
              </w:rPr>
            </w:pPr>
            <w:r>
              <w:rPr>
                <w:rFonts w:hint="eastAsia"/>
                <w:szCs w:val="21"/>
              </w:rPr>
              <w:t>表演</w:t>
            </w:r>
          </w:p>
        </w:tc>
        <w:tc>
          <w:tcPr>
            <w:tcW w:w="426" w:type="dxa"/>
            <w:shd w:val="clear" w:color="auto" w:fill="auto"/>
            <w:vAlign w:val="center"/>
          </w:tcPr>
          <w:p>
            <w:pPr>
              <w:pStyle w:val="52"/>
              <w:jc w:val="center"/>
              <w:rPr>
                <w:szCs w:val="21"/>
              </w:rPr>
            </w:pPr>
            <w:r>
              <w:rPr>
                <w:szCs w:val="21"/>
              </w:rPr>
              <w:t>29</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788" w:type="dxa"/>
            <w:vAlign w:val="center"/>
          </w:tcPr>
          <w:p>
            <w:pPr>
              <w:pStyle w:val="52"/>
              <w:jc w:val="center"/>
              <w:rPr>
                <w:szCs w:val="21"/>
              </w:rPr>
            </w:pPr>
            <w:r>
              <w:rPr>
                <w:szCs w:val="21"/>
              </w:rPr>
              <w:t>76.9</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15.4</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7.7</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788" w:type="dxa"/>
            <w:vAlign w:val="center"/>
          </w:tcPr>
          <w:p>
            <w:pPr>
              <w:pStyle w:val="52"/>
              <w:jc w:val="center"/>
              <w:rPr>
                <w:szCs w:val="21"/>
              </w:rPr>
            </w:pPr>
            <w:r>
              <w:rPr>
                <w:szCs w:val="21"/>
              </w:rPr>
              <w:t>91.7</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8.3</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7</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7" w:type="dxa"/>
            <w:vMerge w:val="continue"/>
            <w:vAlign w:val="center"/>
          </w:tcPr>
          <w:p>
            <w:pPr>
              <w:pStyle w:val="52"/>
              <w:rPr>
                <w:szCs w:val="20"/>
              </w:rPr>
            </w:pPr>
          </w:p>
        </w:tc>
        <w:tc>
          <w:tcPr>
            <w:tcW w:w="2043"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788" w:type="dxa"/>
            <w:vAlign w:val="center"/>
          </w:tcPr>
          <w:p>
            <w:pPr>
              <w:pStyle w:val="52"/>
              <w:jc w:val="center"/>
              <w:rPr>
                <w:szCs w:val="21"/>
              </w:rPr>
            </w:pPr>
            <w:r>
              <w:rPr>
                <w:szCs w:val="21"/>
              </w:rPr>
              <w:t>100.0</w:t>
            </w:r>
          </w:p>
        </w:tc>
        <w:tc>
          <w:tcPr>
            <w:tcW w:w="69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81"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804" w:type="dxa"/>
            <w:vAlign w:val="center"/>
          </w:tcPr>
          <w:p>
            <w:pPr>
              <w:pStyle w:val="52"/>
              <w:jc w:val="center"/>
              <w:rPr>
                <w:szCs w:val="21"/>
              </w:rPr>
            </w:pPr>
            <w:r>
              <w:rPr>
                <w:szCs w:val="21"/>
              </w:rPr>
              <w:t>0.0</w:t>
            </w:r>
          </w:p>
        </w:tc>
        <w:tc>
          <w:tcPr>
            <w:tcW w:w="691" w:type="dxa"/>
            <w:vAlign w:val="center"/>
          </w:tcPr>
          <w:p>
            <w:pPr>
              <w:pStyle w:val="52"/>
              <w:jc w:val="center"/>
              <w:rPr>
                <w:szCs w:val="21"/>
              </w:rPr>
            </w:pPr>
            <w:r>
              <w:rPr>
                <w:szCs w:val="21"/>
              </w:rPr>
              <w:t>0.0</w:t>
            </w:r>
          </w:p>
        </w:tc>
        <w:tc>
          <w:tcPr>
            <w:tcW w:w="691" w:type="dxa"/>
            <w:shd w:val="clear" w:color="auto" w:fill="auto"/>
            <w:vAlign w:val="center"/>
          </w:tcPr>
          <w:p>
            <w:pPr>
              <w:pStyle w:val="52"/>
              <w:jc w:val="center"/>
              <w:rPr>
                <w:szCs w:val="21"/>
              </w:rPr>
            </w:pPr>
            <w:r>
              <w:rPr>
                <w:szCs w:val="21"/>
              </w:rPr>
              <w:t>0.0</w:t>
            </w:r>
          </w:p>
        </w:tc>
      </w:tr>
    </w:tbl>
    <w:p/>
    <w:p>
      <w:pPr>
        <w:pStyle w:val="67"/>
      </w:pPr>
      <w:bookmarkStart w:id="131" w:name="PO_33212"/>
      <w:bookmarkEnd w:id="131"/>
      <w:bookmarkStart w:id="132" w:name="_Toc470167395"/>
      <w:r>
        <w:rPr>
          <w:rFonts w:hint="eastAsia"/>
        </w:rPr>
        <w:t>3、就业城市类型</w:t>
      </w:r>
      <w:bookmarkEnd w:id="132"/>
    </w:p>
    <w:p>
      <w:pPr>
        <w:pStyle w:val="37"/>
        <w:ind w:firstLine="480"/>
      </w:pPr>
      <w:r>
        <w:rPr>
          <w:rFonts w:hint="eastAsia"/>
        </w:rPr>
        <w:t>根据行政级别把中国内地城市分为三种类型，直辖市（包括北京、上海、天津、重庆），副省级城市（包括哈尔滨、长春、沈阳、大连、济南、青岛、南京、杭州、宁波、厦门、广州、深圳、武汉、成都、西安15个城市）和地级城市及以下（如苏州、保定等，也包括部分省会城市如福州、长沙等）。</w:t>
      </w:r>
    </w:p>
    <w:p>
      <w:pPr>
        <w:pStyle w:val="37"/>
        <w:ind w:firstLine="480"/>
      </w:pPr>
      <w:bookmarkStart w:id="133" w:name="PO_33230"/>
      <w:bookmarkEnd w:id="133"/>
      <w:r>
        <w:rPr>
          <w:rFonts w:hint="eastAsia"/>
        </w:rPr>
        <w:t>调查显示，就城市类型而言，本科生期望首选在直辖市的比例为97.7%，最终落实在直辖市的比例为96.7%；期望首选在副省级城市的比例为2.3%，最终落实在副省级城市的比例为2.4%；期望首选在地级城市及以下的比例为0.0%，最终落实在地级城市及以下的比例为0.8%。</w:t>
      </w:r>
    </w:p>
    <w:p>
      <w:pPr>
        <w:pStyle w:val="53"/>
        <w:spacing w:before="312" w:after="156"/>
      </w:pPr>
      <w:r>
        <w:rPr>
          <w:rFonts w:hint="eastAsia"/>
        </w:rPr>
        <w:t>期望首选与最终落实就业城市类型（%）</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直辖市</w:t>
            </w:r>
          </w:p>
        </w:tc>
        <w:tc>
          <w:tcPr>
            <w:tcW w:w="1134" w:type="dxa"/>
            <w:vAlign w:val="center"/>
          </w:tcPr>
          <w:p>
            <w:pPr>
              <w:widowControl/>
              <w:jc w:val="center"/>
              <w:rPr>
                <w:color w:val="000000"/>
                <w:kern w:val="0"/>
                <w:szCs w:val="21"/>
              </w:rPr>
            </w:pPr>
            <w:r>
              <w:rPr>
                <w:color w:val="000000"/>
                <w:kern w:val="0"/>
                <w:szCs w:val="21"/>
              </w:rPr>
              <w:t>97.7</w:t>
            </w:r>
          </w:p>
        </w:tc>
        <w:tc>
          <w:tcPr>
            <w:tcW w:w="1238" w:type="dxa"/>
            <w:vAlign w:val="center"/>
          </w:tcPr>
          <w:p>
            <w:pPr>
              <w:widowControl/>
              <w:jc w:val="center"/>
              <w:rPr>
                <w:color w:val="000000"/>
                <w:kern w:val="0"/>
                <w:szCs w:val="21"/>
              </w:rPr>
            </w:pPr>
            <w:r>
              <w:rPr>
                <w:color w:val="000000"/>
                <w:kern w:val="0"/>
                <w:szCs w:val="21"/>
              </w:rPr>
              <w:t>96.7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副省级城市</w:t>
            </w:r>
          </w:p>
        </w:tc>
        <w:tc>
          <w:tcPr>
            <w:tcW w:w="1134" w:type="dxa"/>
            <w:vAlign w:val="center"/>
          </w:tcPr>
          <w:p>
            <w:pPr>
              <w:widowControl/>
              <w:jc w:val="center"/>
              <w:rPr>
                <w:color w:val="000000"/>
                <w:kern w:val="0"/>
                <w:szCs w:val="21"/>
              </w:rPr>
            </w:pPr>
            <w:r>
              <w:rPr>
                <w:color w:val="000000"/>
                <w:kern w:val="0"/>
                <w:szCs w:val="21"/>
              </w:rPr>
              <w:t>2.3</w:t>
            </w:r>
          </w:p>
        </w:tc>
        <w:tc>
          <w:tcPr>
            <w:tcW w:w="1238" w:type="dxa"/>
            <w:vAlign w:val="center"/>
          </w:tcPr>
          <w:p>
            <w:pPr>
              <w:widowControl/>
              <w:jc w:val="center"/>
              <w:rPr>
                <w:color w:val="000000"/>
                <w:kern w:val="0"/>
                <w:szCs w:val="21"/>
              </w:rPr>
            </w:pPr>
            <w:r>
              <w:rPr>
                <w:color w:val="000000"/>
                <w:kern w:val="0"/>
                <w:szCs w:val="21"/>
              </w:rPr>
              <w:t>2.4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地级城市及以下</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0.8</w:t>
            </w:r>
          </w:p>
        </w:tc>
      </w:tr>
    </w:tbl>
    <w:p>
      <w:pPr>
        <w:pStyle w:val="52"/>
      </w:pPr>
    </w:p>
    <w:p>
      <w:pPr>
        <w:pStyle w:val="67"/>
      </w:pPr>
      <w:bookmarkStart w:id="134" w:name="_Toc470167396"/>
      <w:r>
        <w:rPr>
          <w:rFonts w:hint="eastAsia"/>
        </w:rPr>
        <w:t>4、单位类型</w:t>
      </w:r>
      <w:bookmarkEnd w:id="134"/>
    </w:p>
    <w:p>
      <w:pPr>
        <w:pStyle w:val="70"/>
      </w:pPr>
      <w:bookmarkStart w:id="135" w:name="PO_3322"/>
      <w:bookmarkEnd w:id="135"/>
      <w:r>
        <w:rPr>
          <w:rFonts w:hint="eastAsia"/>
        </w:rPr>
        <w:t>（1）总体情况</w:t>
      </w:r>
    </w:p>
    <w:p>
      <w:pPr>
        <w:pStyle w:val="37"/>
        <w:ind w:firstLine="480"/>
      </w:pPr>
      <w:r>
        <w:rPr>
          <w:rFonts w:hint="eastAsia"/>
        </w:rPr>
        <w:t>总体而言，本科生期望首选与最终落实的三个主要类型为：民营/私营企业（34.9%，44.4%），其他（28.7%，23.4%），事业单位（20.9%，19.4%）。</w:t>
      </w:r>
    </w:p>
    <w:p>
      <w:pPr>
        <w:jc w:val="center"/>
      </w:pPr>
      <w:r>
        <w:rPr>
          <w:rFonts w:hint="eastAsia"/>
        </w:rPr>
        <w:drawing>
          <wp:inline distT="0" distB="0" distL="0" distR="0">
            <wp:extent cx="6315075" cy="2914650"/>
            <wp:effectExtent l="19050" t="0" r="9525" b="0"/>
            <wp:docPr id="39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59"/>
        <w:spacing w:before="156" w:after="312"/>
      </w:pPr>
      <w:r>
        <w:rPr>
          <w:rFonts w:hint="eastAsia"/>
        </w:rPr>
        <w:t>期望首选与最终落实就业单位类型</w:t>
      </w:r>
    </w:p>
    <w:p>
      <w:pPr>
        <w:pStyle w:val="53"/>
        <w:spacing w:before="312" w:after="156"/>
      </w:pPr>
      <w:r>
        <w:rPr>
          <w:rFonts w:hint="eastAsia"/>
        </w:rPr>
        <w:t>期望首选与最终落实就业单位类型</w:t>
      </w:r>
    </w:p>
    <w:tbl>
      <w:tblPr>
        <w:tblStyle w:val="33"/>
        <w:tblW w:w="6850" w:type="dxa"/>
        <w:jc w:val="center"/>
        <w:tblInd w:w="0" w:type="dxa"/>
        <w:tblLayout w:type="fixed"/>
        <w:tblCellMar>
          <w:top w:w="0" w:type="dxa"/>
          <w:left w:w="108" w:type="dxa"/>
          <w:bottom w:w="0" w:type="dxa"/>
          <w:right w:w="108" w:type="dxa"/>
        </w:tblCellMar>
      </w:tblPr>
      <w:tblGrid>
        <w:gridCol w:w="2865"/>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2865"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ind w:firstLine="480"/>
              <w:rPr>
                <w:szCs w:val="20"/>
              </w:rPr>
            </w:pPr>
            <w:r>
              <w:rPr>
                <w:rFonts w:hint="eastAsia"/>
              </w:rPr>
              <w:t>　</w:t>
            </w: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2865" w:type="dxa"/>
            <w:vMerge w:val="continue"/>
            <w:tcBorders>
              <w:top w:val="single" w:color="00B050" w:sz="12" w:space="0"/>
              <w:left w:val="single" w:color="00B050" w:sz="8" w:space="0"/>
              <w:bottom w:val="single" w:color="00B050" w:sz="8" w:space="0"/>
              <w:right w:val="dotted" w:color="00B050" w:sz="8" w:space="0"/>
            </w:tcBorders>
            <w:vAlign w:val="center"/>
          </w:tcPr>
          <w:p>
            <w:pPr>
              <w:pStyle w:val="52"/>
              <w:rPr>
                <w:szCs w:val="20"/>
              </w:rPr>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20"/>
              </w:rPr>
            </w:pPr>
            <w:r>
              <w:rPr>
                <w:rFonts w:hint="eastAsia"/>
              </w:rPr>
              <w:t>机关</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9</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7.0</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6</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4.8</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事业单位</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20.9</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24</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19.4</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国有企业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7.8</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9</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7.3</w:t>
            </w:r>
          </w:p>
        </w:tc>
      </w:tr>
      <w:tr>
        <w:tblPrEx>
          <w:tblLayout w:type="fixed"/>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三资企业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0.8</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民营/私营企业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34.9</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55</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44.4</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其他</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37</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28.7</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23.4</w:t>
            </w:r>
          </w:p>
        </w:tc>
      </w:tr>
    </w:tbl>
    <w:p>
      <w:pPr>
        <w:pStyle w:val="70"/>
      </w:pPr>
      <w:r>
        <w:rPr>
          <w:rFonts w:hint="eastAsia"/>
        </w:rPr>
        <w:t>（2）不同专业本科生就业单位类型</w:t>
      </w:r>
    </w:p>
    <w:p>
      <w:pPr>
        <w:pStyle w:val="37"/>
        <w:ind w:firstLine="480"/>
      </w:pPr>
      <w:r>
        <w:rPr>
          <w:rFonts w:hint="eastAsia"/>
        </w:rPr>
        <w:t>就不同专业而言，舞台化装专业期望首选和最终落实在机关的比例最高；舞台设计专业期望首选和最终落实在事业单位的比例最高；表演专业期望首选国有企业的比例最高，演出制作专业最终落实在国有企业的比例最高；制片管理专业期望首选三资企业的比例最高，表演专业最终落实在三资企业的比例最高；电视剧创作专业期望首选和最终落实在民营/私营企业的比例最高。</w:t>
      </w:r>
    </w:p>
    <w:p>
      <w:pPr>
        <w:pStyle w:val="53"/>
        <w:spacing w:before="312" w:after="156"/>
      </w:pPr>
      <w:r>
        <w:rPr>
          <w:rFonts w:hint="eastAsia"/>
        </w:rPr>
        <w:t>不同专业本科生期望首选与最终落实就业单位类型</w:t>
      </w:r>
    </w:p>
    <w:tbl>
      <w:tblPr>
        <w:tblStyle w:val="33"/>
        <w:tblW w:w="872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266"/>
        <w:gridCol w:w="426"/>
        <w:gridCol w:w="636"/>
        <w:gridCol w:w="1056"/>
        <w:gridCol w:w="1056"/>
        <w:gridCol w:w="1056"/>
        <w:gridCol w:w="1535"/>
        <w:gridCol w:w="63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26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5975" w:type="dxa"/>
            <w:gridSpan w:val="6"/>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26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636" w:type="dxa"/>
            <w:vAlign w:val="center"/>
          </w:tcPr>
          <w:p>
            <w:pPr>
              <w:pStyle w:val="52"/>
              <w:jc w:val="center"/>
              <w:rPr>
                <w:szCs w:val="21"/>
              </w:rPr>
            </w:pPr>
            <w:r>
              <w:rPr>
                <w:rFonts w:hint="eastAsia"/>
                <w:szCs w:val="21"/>
              </w:rPr>
              <w:t>机关</w:t>
            </w:r>
          </w:p>
        </w:tc>
        <w:tc>
          <w:tcPr>
            <w:tcW w:w="1056" w:type="dxa"/>
            <w:vAlign w:val="center"/>
          </w:tcPr>
          <w:p>
            <w:pPr>
              <w:pStyle w:val="52"/>
              <w:jc w:val="center"/>
              <w:rPr>
                <w:szCs w:val="21"/>
              </w:rPr>
            </w:pPr>
            <w:r>
              <w:rPr>
                <w:rFonts w:hint="eastAsia"/>
                <w:szCs w:val="21"/>
              </w:rPr>
              <w:t>事业单位</w:t>
            </w:r>
          </w:p>
        </w:tc>
        <w:tc>
          <w:tcPr>
            <w:tcW w:w="1056" w:type="dxa"/>
            <w:vAlign w:val="center"/>
          </w:tcPr>
          <w:p>
            <w:pPr>
              <w:pStyle w:val="52"/>
              <w:jc w:val="center"/>
              <w:rPr>
                <w:szCs w:val="21"/>
              </w:rPr>
            </w:pPr>
            <w:r>
              <w:rPr>
                <w:rFonts w:hint="eastAsia"/>
                <w:szCs w:val="21"/>
              </w:rPr>
              <w:t>国有企业</w:t>
            </w:r>
          </w:p>
        </w:tc>
        <w:tc>
          <w:tcPr>
            <w:tcW w:w="1056" w:type="dxa"/>
            <w:vAlign w:val="center"/>
          </w:tcPr>
          <w:p>
            <w:pPr>
              <w:pStyle w:val="52"/>
              <w:jc w:val="center"/>
              <w:rPr>
                <w:szCs w:val="21"/>
              </w:rPr>
            </w:pPr>
            <w:r>
              <w:rPr>
                <w:rFonts w:hint="eastAsia"/>
                <w:szCs w:val="21"/>
              </w:rPr>
              <w:t>三资企业</w:t>
            </w:r>
          </w:p>
        </w:tc>
        <w:tc>
          <w:tcPr>
            <w:tcW w:w="1535" w:type="dxa"/>
            <w:vAlign w:val="center"/>
          </w:tcPr>
          <w:p>
            <w:pPr>
              <w:pStyle w:val="52"/>
              <w:jc w:val="center"/>
              <w:rPr>
                <w:szCs w:val="21"/>
              </w:rPr>
            </w:pPr>
            <w:r>
              <w:rPr>
                <w:rFonts w:hint="eastAsia"/>
                <w:szCs w:val="21"/>
              </w:rPr>
              <w:t>民营/私营企业</w:t>
            </w:r>
          </w:p>
        </w:tc>
        <w:tc>
          <w:tcPr>
            <w:tcW w:w="636" w:type="dxa"/>
            <w:shd w:val="clear" w:color="auto" w:fill="auto"/>
            <w:vAlign w:val="center"/>
          </w:tcPr>
          <w:p>
            <w:pPr>
              <w:pStyle w:val="52"/>
              <w:jc w:val="center"/>
              <w:rPr>
                <w:szCs w:val="20"/>
              </w:rPr>
            </w:pPr>
            <w:r>
              <w:rPr>
                <w:rFonts w:hint="eastAsia"/>
                <w:szCs w:val="21"/>
              </w:rPr>
              <w:t>其他</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266" w:type="dxa"/>
            <w:shd w:val="clear" w:color="auto" w:fill="auto"/>
            <w:vAlign w:val="center"/>
          </w:tcPr>
          <w:p>
            <w:pPr>
              <w:pStyle w:val="52"/>
              <w:rPr>
                <w:szCs w:val="20"/>
              </w:rPr>
            </w:pPr>
            <w:r>
              <w:rPr>
                <w:rFonts w:hint="eastAsia"/>
                <w:szCs w:val="21"/>
              </w:rPr>
              <w:t>表演</w:t>
            </w:r>
          </w:p>
        </w:tc>
        <w:tc>
          <w:tcPr>
            <w:tcW w:w="426" w:type="dxa"/>
            <w:shd w:val="clear" w:color="auto" w:fill="auto"/>
            <w:vAlign w:val="center"/>
          </w:tcPr>
          <w:p>
            <w:pPr>
              <w:pStyle w:val="52"/>
              <w:jc w:val="center"/>
              <w:rPr>
                <w:szCs w:val="20"/>
              </w:rPr>
            </w:pPr>
            <w:r>
              <w:rPr>
                <w:szCs w:val="21"/>
              </w:rPr>
              <w:t>34</w:t>
            </w:r>
          </w:p>
        </w:tc>
        <w:tc>
          <w:tcPr>
            <w:tcW w:w="636" w:type="dxa"/>
            <w:vAlign w:val="center"/>
          </w:tcPr>
          <w:p>
            <w:pPr>
              <w:pStyle w:val="52"/>
              <w:jc w:val="center"/>
              <w:rPr>
                <w:szCs w:val="21"/>
              </w:rPr>
            </w:pPr>
            <w:r>
              <w:rPr>
                <w:szCs w:val="21"/>
              </w:rPr>
              <w:t>11.8</w:t>
            </w:r>
          </w:p>
        </w:tc>
        <w:tc>
          <w:tcPr>
            <w:tcW w:w="1056" w:type="dxa"/>
            <w:vAlign w:val="center"/>
          </w:tcPr>
          <w:p>
            <w:pPr>
              <w:pStyle w:val="52"/>
              <w:jc w:val="center"/>
              <w:rPr>
                <w:szCs w:val="21"/>
              </w:rPr>
            </w:pPr>
            <w:r>
              <w:rPr>
                <w:szCs w:val="21"/>
              </w:rPr>
              <w:t>17.6</w:t>
            </w:r>
          </w:p>
        </w:tc>
        <w:tc>
          <w:tcPr>
            <w:tcW w:w="1056" w:type="dxa"/>
            <w:vAlign w:val="center"/>
          </w:tcPr>
          <w:p>
            <w:pPr>
              <w:pStyle w:val="52"/>
              <w:jc w:val="center"/>
              <w:rPr>
                <w:szCs w:val="21"/>
              </w:rPr>
            </w:pPr>
            <w:r>
              <w:rPr>
                <w:szCs w:val="21"/>
              </w:rPr>
              <w:t>17.6</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2.9</w:t>
            </w:r>
          </w:p>
        </w:tc>
        <w:tc>
          <w:tcPr>
            <w:tcW w:w="636" w:type="dxa"/>
            <w:shd w:val="clear" w:color="auto" w:fill="auto"/>
            <w:vAlign w:val="center"/>
          </w:tcPr>
          <w:p>
            <w:pPr>
              <w:pStyle w:val="52"/>
              <w:jc w:val="center"/>
              <w:rPr>
                <w:szCs w:val="20"/>
              </w:rPr>
            </w:pPr>
            <w:r>
              <w:rPr>
                <w:szCs w:val="21"/>
              </w:rP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63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7.7</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38.5</w:t>
            </w:r>
          </w:p>
        </w:tc>
        <w:tc>
          <w:tcPr>
            <w:tcW w:w="636" w:type="dxa"/>
            <w:shd w:val="clear" w:color="auto" w:fill="auto"/>
            <w:vAlign w:val="center"/>
          </w:tcPr>
          <w:p>
            <w:pPr>
              <w:pStyle w:val="52"/>
              <w:jc w:val="center"/>
              <w:rPr>
                <w:szCs w:val="21"/>
              </w:rPr>
            </w:pPr>
            <w:r>
              <w:rPr>
                <w:szCs w:val="21"/>
              </w:rPr>
              <w:t>23.1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25.0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25.0</w:t>
            </w:r>
          </w:p>
        </w:tc>
        <w:tc>
          <w:tcPr>
            <w:tcW w:w="636" w:type="dxa"/>
            <w:shd w:val="clear" w:color="auto" w:fill="auto"/>
            <w:vAlign w:val="center"/>
          </w:tcPr>
          <w:p>
            <w:pPr>
              <w:pStyle w:val="52"/>
              <w:jc w:val="center"/>
              <w:rPr>
                <w:szCs w:val="21"/>
              </w:rPr>
            </w:pPr>
            <w:r>
              <w:rPr>
                <w:szCs w:val="21"/>
              </w:rP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100.0</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33.3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33.3</w:t>
            </w:r>
          </w:p>
        </w:tc>
        <w:tc>
          <w:tcPr>
            <w:tcW w:w="636" w:type="dxa"/>
            <w:shd w:val="clear" w:color="auto" w:fill="auto"/>
            <w:vAlign w:val="center"/>
          </w:tcPr>
          <w:p>
            <w:pPr>
              <w:pStyle w:val="52"/>
              <w:jc w:val="center"/>
              <w:rPr>
                <w:szCs w:val="21"/>
              </w:rPr>
            </w:pPr>
            <w:r>
              <w:rPr>
                <w:szCs w:val="21"/>
              </w:rPr>
              <w:t>33.3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50.0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1"/>
              </w:rPr>
            </w:pPr>
            <w:r>
              <w:rPr>
                <w:szCs w:val="21"/>
              </w:rP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33.3</w:t>
            </w:r>
          </w:p>
        </w:tc>
        <w:tc>
          <w:tcPr>
            <w:tcW w:w="1056" w:type="dxa"/>
            <w:vAlign w:val="center"/>
          </w:tcPr>
          <w:p>
            <w:pPr>
              <w:pStyle w:val="52"/>
              <w:jc w:val="center"/>
              <w:rPr>
                <w:szCs w:val="21"/>
              </w:rPr>
            </w:pPr>
            <w:r>
              <w:rPr>
                <w:szCs w:val="21"/>
              </w:rPr>
              <w:t>33.3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33.3</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85.7</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1"/>
              </w:rPr>
            </w:pPr>
            <w:r>
              <w:rPr>
                <w:szCs w:val="21"/>
              </w:rPr>
              <w:t>14.3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50.0</w:t>
            </w:r>
          </w:p>
        </w:tc>
        <w:tc>
          <w:tcPr>
            <w:tcW w:w="636" w:type="dxa"/>
            <w:shd w:val="clear" w:color="auto" w:fill="auto"/>
            <w:vAlign w:val="center"/>
          </w:tcPr>
          <w:p>
            <w:pPr>
              <w:pStyle w:val="52"/>
              <w:jc w:val="center"/>
              <w:rPr>
                <w:szCs w:val="21"/>
              </w:rPr>
            </w:pPr>
            <w:r>
              <w:rPr>
                <w:szCs w:val="21"/>
              </w:rPr>
              <w:t>40.0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8.3</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75.0</w:t>
            </w:r>
          </w:p>
        </w:tc>
        <w:tc>
          <w:tcPr>
            <w:tcW w:w="636" w:type="dxa"/>
            <w:shd w:val="clear" w:color="auto" w:fill="auto"/>
            <w:vAlign w:val="center"/>
          </w:tcPr>
          <w:p>
            <w:pPr>
              <w:pStyle w:val="52"/>
              <w:jc w:val="center"/>
              <w:rPr>
                <w:szCs w:val="21"/>
              </w:rPr>
            </w:pPr>
            <w:r>
              <w:rPr>
                <w:szCs w:val="21"/>
              </w:rPr>
              <w:t>16.7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636" w:type="dxa"/>
            <w:vAlign w:val="center"/>
          </w:tcPr>
          <w:p>
            <w:pPr>
              <w:pStyle w:val="52"/>
              <w:jc w:val="center"/>
              <w:rPr>
                <w:szCs w:val="21"/>
              </w:rPr>
            </w:pPr>
            <w:r>
              <w:rPr>
                <w:szCs w:val="21"/>
              </w:rPr>
              <w:t>7.7</w:t>
            </w:r>
          </w:p>
        </w:tc>
        <w:tc>
          <w:tcPr>
            <w:tcW w:w="1056" w:type="dxa"/>
            <w:vAlign w:val="center"/>
          </w:tcPr>
          <w:p>
            <w:pPr>
              <w:pStyle w:val="52"/>
              <w:jc w:val="center"/>
              <w:rPr>
                <w:szCs w:val="21"/>
              </w:rPr>
            </w:pPr>
            <w:r>
              <w:rPr>
                <w:szCs w:val="21"/>
              </w:rPr>
              <w:t>7.7</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53.8</w:t>
            </w:r>
          </w:p>
        </w:tc>
        <w:tc>
          <w:tcPr>
            <w:tcW w:w="636" w:type="dxa"/>
            <w:shd w:val="clear" w:color="auto" w:fill="auto"/>
            <w:vAlign w:val="center"/>
          </w:tcPr>
          <w:p>
            <w:pPr>
              <w:pStyle w:val="52"/>
              <w:jc w:val="center"/>
              <w:rPr>
                <w:szCs w:val="21"/>
              </w:rPr>
            </w:pPr>
            <w:r>
              <w:rPr>
                <w:szCs w:val="21"/>
              </w:rPr>
              <w:t>15.4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8</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12.5</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62.5</w:t>
            </w:r>
          </w:p>
        </w:tc>
        <w:tc>
          <w:tcPr>
            <w:tcW w:w="636" w:type="dxa"/>
            <w:shd w:val="clear" w:color="auto" w:fill="auto"/>
            <w:vAlign w:val="center"/>
          </w:tcPr>
          <w:p>
            <w:pPr>
              <w:pStyle w:val="52"/>
              <w:jc w:val="center"/>
              <w:rPr>
                <w:szCs w:val="21"/>
              </w:rPr>
            </w:pPr>
            <w:r>
              <w:rPr>
                <w:szCs w:val="21"/>
              </w:rPr>
              <w:t>25.0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636" w:type="dxa"/>
            <w:vAlign w:val="center"/>
          </w:tcPr>
          <w:p>
            <w:pPr>
              <w:pStyle w:val="52"/>
              <w:jc w:val="center"/>
              <w:rPr>
                <w:szCs w:val="21"/>
              </w:rPr>
            </w:pPr>
            <w:r>
              <w:rPr>
                <w:szCs w:val="21"/>
              </w:rPr>
              <w:t>7.1</w:t>
            </w:r>
          </w:p>
        </w:tc>
        <w:tc>
          <w:tcPr>
            <w:tcW w:w="1056" w:type="dxa"/>
            <w:vAlign w:val="center"/>
          </w:tcPr>
          <w:p>
            <w:pPr>
              <w:pStyle w:val="52"/>
              <w:jc w:val="center"/>
              <w:rPr>
                <w:szCs w:val="21"/>
              </w:rPr>
            </w:pPr>
            <w:r>
              <w:rPr>
                <w:szCs w:val="21"/>
              </w:rPr>
              <w:t>28.6</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7.1</w:t>
            </w:r>
          </w:p>
        </w:tc>
        <w:tc>
          <w:tcPr>
            <w:tcW w:w="1535" w:type="dxa"/>
            <w:vAlign w:val="center"/>
          </w:tcPr>
          <w:p>
            <w:pPr>
              <w:pStyle w:val="52"/>
              <w:jc w:val="center"/>
              <w:rPr>
                <w:szCs w:val="21"/>
              </w:rPr>
            </w:pPr>
            <w:r>
              <w:rPr>
                <w:szCs w:val="21"/>
              </w:rPr>
              <w:t>50.0</w:t>
            </w:r>
          </w:p>
        </w:tc>
        <w:tc>
          <w:tcPr>
            <w:tcW w:w="636" w:type="dxa"/>
            <w:shd w:val="clear" w:color="auto" w:fill="auto"/>
            <w:vAlign w:val="center"/>
          </w:tcPr>
          <w:p>
            <w:pPr>
              <w:pStyle w:val="52"/>
              <w:jc w:val="center"/>
              <w:rPr>
                <w:szCs w:val="21"/>
              </w:rPr>
            </w:pPr>
            <w:r>
              <w:rPr>
                <w:szCs w:val="21"/>
              </w:rPr>
              <w:t>7.1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266" w:type="dxa"/>
            <w:shd w:val="clear" w:color="auto" w:fill="auto"/>
            <w:vAlign w:val="center"/>
          </w:tcPr>
          <w:p>
            <w:pPr>
              <w:pStyle w:val="52"/>
              <w:rPr>
                <w:szCs w:val="21"/>
              </w:rPr>
            </w:pPr>
            <w:r>
              <w:rPr>
                <w:rFonts w:hint="eastAsia"/>
                <w:szCs w:val="21"/>
              </w:rPr>
              <w:t>表演</w:t>
            </w:r>
          </w:p>
        </w:tc>
        <w:tc>
          <w:tcPr>
            <w:tcW w:w="426" w:type="dxa"/>
            <w:shd w:val="clear" w:color="auto" w:fill="auto"/>
            <w:vAlign w:val="center"/>
          </w:tcPr>
          <w:p>
            <w:pPr>
              <w:pStyle w:val="52"/>
              <w:jc w:val="center"/>
              <w:rPr>
                <w:szCs w:val="21"/>
              </w:rPr>
            </w:pPr>
            <w:r>
              <w:rPr>
                <w:szCs w:val="21"/>
              </w:rPr>
              <w:t>30</w:t>
            </w:r>
          </w:p>
        </w:tc>
        <w:tc>
          <w:tcPr>
            <w:tcW w:w="636" w:type="dxa"/>
            <w:vAlign w:val="center"/>
          </w:tcPr>
          <w:p>
            <w:pPr>
              <w:pStyle w:val="52"/>
              <w:jc w:val="center"/>
              <w:rPr>
                <w:szCs w:val="21"/>
              </w:rPr>
            </w:pPr>
            <w:r>
              <w:rPr>
                <w:szCs w:val="21"/>
              </w:rPr>
              <w:t>10.0</w:t>
            </w:r>
          </w:p>
        </w:tc>
        <w:tc>
          <w:tcPr>
            <w:tcW w:w="1056" w:type="dxa"/>
            <w:vAlign w:val="center"/>
          </w:tcPr>
          <w:p>
            <w:pPr>
              <w:pStyle w:val="52"/>
              <w:jc w:val="center"/>
              <w:rPr>
                <w:szCs w:val="21"/>
              </w:rPr>
            </w:pPr>
            <w:r>
              <w:rPr>
                <w:szCs w:val="21"/>
              </w:rPr>
              <w:t>20.0</w:t>
            </w:r>
          </w:p>
        </w:tc>
        <w:tc>
          <w:tcPr>
            <w:tcW w:w="1056" w:type="dxa"/>
            <w:vAlign w:val="center"/>
          </w:tcPr>
          <w:p>
            <w:pPr>
              <w:pStyle w:val="52"/>
              <w:jc w:val="center"/>
              <w:rPr>
                <w:szCs w:val="21"/>
              </w:rPr>
            </w:pPr>
            <w:r>
              <w:rPr>
                <w:szCs w:val="21"/>
              </w:rPr>
              <w:t>13.3</w:t>
            </w:r>
          </w:p>
        </w:tc>
        <w:tc>
          <w:tcPr>
            <w:tcW w:w="1056" w:type="dxa"/>
            <w:vAlign w:val="center"/>
          </w:tcPr>
          <w:p>
            <w:pPr>
              <w:pStyle w:val="52"/>
              <w:jc w:val="center"/>
              <w:rPr>
                <w:szCs w:val="21"/>
              </w:rPr>
            </w:pPr>
            <w:r>
              <w:rPr>
                <w:szCs w:val="21"/>
              </w:rPr>
              <w:t>3.3</w:t>
            </w:r>
          </w:p>
        </w:tc>
        <w:tc>
          <w:tcPr>
            <w:tcW w:w="1535" w:type="dxa"/>
            <w:vAlign w:val="center"/>
          </w:tcPr>
          <w:p>
            <w:pPr>
              <w:pStyle w:val="52"/>
              <w:jc w:val="center"/>
              <w:rPr>
                <w:szCs w:val="21"/>
              </w:rPr>
            </w:pPr>
            <w:r>
              <w:rPr>
                <w:szCs w:val="21"/>
              </w:rPr>
              <w:t>13.3</w:t>
            </w:r>
          </w:p>
        </w:tc>
        <w:tc>
          <w:tcPr>
            <w:tcW w:w="636" w:type="dxa"/>
            <w:shd w:val="clear" w:color="auto" w:fill="auto"/>
            <w:vAlign w:val="center"/>
          </w:tcPr>
          <w:p>
            <w:pPr>
              <w:pStyle w:val="52"/>
              <w:jc w:val="center"/>
              <w:rPr>
                <w:szCs w:val="21"/>
              </w:rPr>
            </w:pPr>
            <w:r>
              <w:rPr>
                <w:szCs w:val="21"/>
              </w:rPr>
              <w:t>40.0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63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7.7</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46.2</w:t>
            </w:r>
          </w:p>
        </w:tc>
        <w:tc>
          <w:tcPr>
            <w:tcW w:w="636" w:type="dxa"/>
            <w:shd w:val="clear" w:color="auto" w:fill="auto"/>
            <w:vAlign w:val="center"/>
          </w:tcPr>
          <w:p>
            <w:pPr>
              <w:pStyle w:val="52"/>
              <w:jc w:val="center"/>
              <w:rPr>
                <w:szCs w:val="21"/>
              </w:rPr>
            </w:pPr>
            <w:r>
              <w:rPr>
                <w:szCs w:val="21"/>
              </w:rPr>
              <w:t>15.4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25.0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25.0</w:t>
            </w:r>
          </w:p>
        </w:tc>
        <w:tc>
          <w:tcPr>
            <w:tcW w:w="636" w:type="dxa"/>
            <w:shd w:val="clear" w:color="auto" w:fill="auto"/>
            <w:vAlign w:val="center"/>
          </w:tcPr>
          <w:p>
            <w:pPr>
              <w:pStyle w:val="52"/>
              <w:jc w:val="center"/>
              <w:rPr>
                <w:szCs w:val="21"/>
              </w:rPr>
            </w:pPr>
            <w:r>
              <w:rPr>
                <w:szCs w:val="21"/>
              </w:rP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100.0</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66.7</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33.3</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25.0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1"/>
              </w:rPr>
            </w:pPr>
            <w:r>
              <w:rPr>
                <w:szCs w:val="21"/>
              </w:rPr>
              <w:t>75.0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636" w:type="dxa"/>
            <w:vAlign w:val="center"/>
          </w:tcPr>
          <w:p>
            <w:pPr>
              <w:pStyle w:val="52"/>
              <w:jc w:val="center"/>
              <w:rPr>
                <w:szCs w:val="21"/>
              </w:rPr>
            </w:pPr>
            <w:r>
              <w:rPr>
                <w:szCs w:val="21"/>
              </w:rPr>
              <w:t>33.3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66.7</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57.1</w:t>
            </w:r>
          </w:p>
        </w:tc>
        <w:tc>
          <w:tcPr>
            <w:tcW w:w="1056" w:type="dxa"/>
            <w:vAlign w:val="center"/>
          </w:tcPr>
          <w:p>
            <w:pPr>
              <w:pStyle w:val="52"/>
              <w:jc w:val="center"/>
              <w:rPr>
                <w:szCs w:val="21"/>
              </w:rPr>
            </w:pPr>
            <w:r>
              <w:rPr>
                <w:szCs w:val="21"/>
              </w:rPr>
              <w:t>14.3</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28.6</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50.0</w:t>
            </w:r>
          </w:p>
        </w:tc>
        <w:tc>
          <w:tcPr>
            <w:tcW w:w="636" w:type="dxa"/>
            <w:shd w:val="clear" w:color="auto" w:fill="auto"/>
            <w:vAlign w:val="center"/>
          </w:tcPr>
          <w:p>
            <w:pPr>
              <w:pStyle w:val="52"/>
              <w:jc w:val="center"/>
              <w:rPr>
                <w:szCs w:val="21"/>
              </w:rPr>
            </w:pPr>
            <w:r>
              <w:rPr>
                <w:szCs w:val="21"/>
              </w:rPr>
              <w:t>40.0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8.3</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75.0</w:t>
            </w:r>
          </w:p>
        </w:tc>
        <w:tc>
          <w:tcPr>
            <w:tcW w:w="636" w:type="dxa"/>
            <w:shd w:val="clear" w:color="auto" w:fill="auto"/>
            <w:vAlign w:val="center"/>
          </w:tcPr>
          <w:p>
            <w:pPr>
              <w:pStyle w:val="52"/>
              <w:jc w:val="center"/>
              <w:rPr>
                <w:szCs w:val="21"/>
              </w:rPr>
            </w:pPr>
            <w:r>
              <w:rPr>
                <w:szCs w:val="21"/>
              </w:rPr>
              <w:t>16.7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15.4</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69.2</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7</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14.3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42.9</w:t>
            </w:r>
          </w:p>
        </w:tc>
        <w:tc>
          <w:tcPr>
            <w:tcW w:w="636" w:type="dxa"/>
            <w:shd w:val="clear" w:color="auto" w:fill="auto"/>
            <w:vAlign w:val="center"/>
          </w:tcPr>
          <w:p>
            <w:pPr>
              <w:pStyle w:val="52"/>
              <w:jc w:val="center"/>
              <w:rPr>
                <w:szCs w:val="21"/>
              </w:rPr>
            </w:pPr>
            <w:r>
              <w:rPr>
                <w:szCs w:val="21"/>
              </w:rPr>
              <w:t>42.9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266"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63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21.4</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535" w:type="dxa"/>
            <w:vAlign w:val="center"/>
          </w:tcPr>
          <w:p>
            <w:pPr>
              <w:pStyle w:val="52"/>
              <w:jc w:val="center"/>
              <w:rPr>
                <w:szCs w:val="21"/>
              </w:rPr>
            </w:pPr>
            <w:r>
              <w:rPr>
                <w:szCs w:val="21"/>
              </w:rPr>
              <w:t>71.4</w:t>
            </w:r>
          </w:p>
        </w:tc>
        <w:tc>
          <w:tcPr>
            <w:tcW w:w="636" w:type="dxa"/>
            <w:shd w:val="clear" w:color="auto" w:fill="auto"/>
            <w:vAlign w:val="center"/>
          </w:tcPr>
          <w:p>
            <w:pPr>
              <w:pStyle w:val="52"/>
              <w:jc w:val="center"/>
              <w:rPr>
                <w:szCs w:val="21"/>
              </w:rPr>
            </w:pPr>
            <w:r>
              <w:rPr>
                <w:szCs w:val="21"/>
              </w:rPr>
              <w:t>7.1</w:t>
            </w:r>
          </w:p>
        </w:tc>
      </w:tr>
    </w:tbl>
    <w:p>
      <w:pPr>
        <w:pStyle w:val="37"/>
        <w:ind w:firstLine="0" w:firstLineChars="0"/>
      </w:pPr>
    </w:p>
    <w:p>
      <w:pPr>
        <w:pStyle w:val="67"/>
      </w:pPr>
      <w:bookmarkStart w:id="136" w:name="_Toc470167397"/>
      <w:r>
        <w:rPr>
          <w:rFonts w:hint="eastAsia"/>
        </w:rPr>
        <w:t>5、就业行业</w:t>
      </w:r>
      <w:bookmarkEnd w:id="136"/>
    </w:p>
    <w:p>
      <w:pPr>
        <w:pStyle w:val="70"/>
      </w:pPr>
      <w:bookmarkStart w:id="137" w:name="PO_3323"/>
      <w:bookmarkEnd w:id="137"/>
      <w:r>
        <w:rPr>
          <w:rFonts w:hint="eastAsia"/>
        </w:rPr>
        <w:t>（1）总体情况</w:t>
      </w:r>
    </w:p>
    <w:p>
      <w:pPr>
        <w:pStyle w:val="37"/>
        <w:ind w:firstLine="480"/>
      </w:pPr>
      <w:r>
        <w:rPr>
          <w:rFonts w:hint="eastAsia"/>
        </w:rPr>
        <w:t>总体而言，本科生期望首选与最终落实的三个主要行业为：文化、体育和娱乐业（79.8%，79.0%），其他行业（16.3%，12.9%），社会服务与管理行业（2.3%，3.2%）。</w:t>
      </w:r>
    </w:p>
    <w:p>
      <w:pPr>
        <w:jc w:val="center"/>
      </w:pPr>
      <w:r>
        <w:rPr>
          <w:rFonts w:hint="eastAsia"/>
        </w:rPr>
        <w:drawing>
          <wp:inline distT="0" distB="0" distL="0" distR="0">
            <wp:extent cx="6315075" cy="2914650"/>
            <wp:effectExtent l="19050" t="0" r="9525" b="0"/>
            <wp:docPr id="39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59"/>
        <w:spacing w:before="156" w:after="312"/>
      </w:pPr>
      <w:r>
        <w:rPr>
          <w:rFonts w:hint="eastAsia"/>
        </w:rPr>
        <w:t>期望首选与最终落实就业行业</w:t>
      </w:r>
    </w:p>
    <w:p>
      <w:pPr>
        <w:pStyle w:val="53"/>
        <w:spacing w:before="312" w:after="156"/>
      </w:pPr>
      <w:r>
        <w:rPr>
          <w:rFonts w:hint="eastAsia"/>
        </w:rPr>
        <w:t>期望首选与最终落实就业行业</w:t>
      </w:r>
    </w:p>
    <w:tbl>
      <w:tblPr>
        <w:tblStyle w:val="33"/>
        <w:tblW w:w="8465" w:type="dxa"/>
        <w:jc w:val="center"/>
        <w:tblInd w:w="0" w:type="dxa"/>
        <w:tblLayout w:type="fixed"/>
        <w:tblCellMar>
          <w:top w:w="0" w:type="dxa"/>
          <w:left w:w="108" w:type="dxa"/>
          <w:bottom w:w="0" w:type="dxa"/>
          <w:right w:w="108" w:type="dxa"/>
        </w:tblCellMar>
      </w:tblPr>
      <w:tblGrid>
        <w:gridCol w:w="1214"/>
        <w:gridCol w:w="3266"/>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1214"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ind w:firstLine="480"/>
              <w:jc w:val="center"/>
              <w:rPr>
                <w:szCs w:val="20"/>
              </w:rPr>
            </w:pPr>
          </w:p>
        </w:tc>
        <w:tc>
          <w:tcPr>
            <w:tcW w:w="3266" w:type="dxa"/>
            <w:vMerge w:val="restart"/>
            <w:tcBorders>
              <w:top w:val="single" w:color="00B050" w:sz="8" w:space="0"/>
              <w:left w:val="dotted" w:color="00B050" w:sz="8" w:space="0"/>
              <w:right w:val="dotted" w:color="00B050" w:sz="8" w:space="0"/>
            </w:tcBorders>
          </w:tcPr>
          <w:p>
            <w:pPr>
              <w:pStyle w:val="52"/>
              <w:jc w:val="left"/>
            </w:pP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top w:val="single" w:color="00B050" w:sz="12" w:space="0"/>
              <w:left w:val="single" w:color="00B050" w:sz="8" w:space="0"/>
              <w:bottom w:val="single" w:color="00B050" w:sz="8" w:space="0"/>
              <w:right w:val="dotted" w:color="00B050" w:sz="8" w:space="0"/>
            </w:tcBorders>
            <w:vAlign w:val="center"/>
          </w:tcPr>
          <w:p>
            <w:pPr>
              <w:pStyle w:val="52"/>
              <w:jc w:val="center"/>
              <w:rPr>
                <w:szCs w:val="20"/>
              </w:rPr>
            </w:pPr>
          </w:p>
        </w:tc>
        <w:tc>
          <w:tcPr>
            <w:tcW w:w="3266" w:type="dxa"/>
            <w:vMerge w:val="continue"/>
            <w:tcBorders>
              <w:left w:val="dotted" w:color="00B050" w:sz="8" w:space="0"/>
              <w:bottom w:val="single" w:color="00B050" w:sz="8" w:space="0"/>
              <w:right w:val="dotted" w:color="00B050" w:sz="8" w:space="0"/>
            </w:tcBorders>
          </w:tcPr>
          <w:p>
            <w:pPr>
              <w:pStyle w:val="52"/>
              <w:jc w:val="left"/>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1214"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第一产业</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农、林、牧、渔业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0.0</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0.8</w:t>
            </w:r>
          </w:p>
        </w:tc>
      </w:tr>
      <w:tr>
        <w:tblPrEx>
          <w:tblLayout w:type="fixed"/>
          <w:tblCellMar>
            <w:top w:w="0" w:type="dxa"/>
            <w:left w:w="108" w:type="dxa"/>
            <w:bottom w:w="0" w:type="dxa"/>
            <w:right w:w="108" w:type="dxa"/>
          </w:tblCellMar>
        </w:tblPrEx>
        <w:trPr>
          <w:trHeight w:val="285" w:hRule="atLeast"/>
          <w:jc w:val="center"/>
        </w:trPr>
        <w:tc>
          <w:tcPr>
            <w:tcW w:w="1214"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pPr>
            <w:r>
              <w:rPr>
                <w:rFonts w:hint="eastAsia"/>
              </w:rPr>
              <w:t>第三产业</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商业服务业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0.8</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left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教育及科研行业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3.2</w:t>
            </w:r>
          </w:p>
        </w:tc>
      </w:tr>
      <w:tr>
        <w:tblPrEx>
          <w:tblLayout w:type="fixed"/>
        </w:tblPrEx>
        <w:trPr>
          <w:trHeight w:val="285" w:hRule="atLeast"/>
          <w:jc w:val="center"/>
        </w:trPr>
        <w:tc>
          <w:tcPr>
            <w:tcW w:w="1214" w:type="dxa"/>
            <w:vMerge w:val="continue"/>
            <w:tcBorders>
              <w:left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文化、体育和娱乐业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103</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79.8</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98</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79.0</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left w:val="single" w:color="00B050" w:sz="8" w:space="0"/>
              <w:bottom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社会服务与管理行业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3.2</w:t>
            </w:r>
          </w:p>
        </w:tc>
      </w:tr>
      <w:tr>
        <w:tblPrEx>
          <w:tblLayout w:type="fixed"/>
          <w:tblCellMar>
            <w:top w:w="0" w:type="dxa"/>
            <w:left w:w="108" w:type="dxa"/>
            <w:bottom w:w="0" w:type="dxa"/>
            <w:right w:w="108" w:type="dxa"/>
          </w:tblCellMar>
        </w:tblPrEx>
        <w:trPr>
          <w:trHeight w:val="285" w:hRule="atLeast"/>
          <w:jc w:val="center"/>
        </w:trPr>
        <w:tc>
          <w:tcPr>
            <w:tcW w:w="1214" w:type="dxa"/>
            <w:tcBorders>
              <w:left w:val="single" w:color="00B050" w:sz="8" w:space="0"/>
              <w:bottom w:val="single" w:color="00B050" w:sz="8" w:space="0"/>
              <w:right w:val="dotted" w:color="00B050" w:sz="8" w:space="0"/>
            </w:tcBorders>
            <w:shd w:val="clear" w:color="auto" w:fill="auto"/>
            <w:vAlign w:val="center"/>
          </w:tcPr>
          <w:p>
            <w:pPr>
              <w:pStyle w:val="52"/>
              <w:jc w:val="center"/>
            </w:pPr>
            <w:r>
              <w:rPr>
                <w:rFonts w:hint="eastAsia"/>
              </w:rPr>
              <w:t>其他</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其他行业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12.9</w:t>
            </w:r>
          </w:p>
        </w:tc>
      </w:tr>
    </w:tbl>
    <w:p>
      <w:pPr>
        <w:pStyle w:val="70"/>
      </w:pPr>
      <w:r>
        <w:rPr>
          <w:rFonts w:hint="eastAsia"/>
        </w:rPr>
        <w:t>（2）不同专业本科生就业行业</w:t>
      </w:r>
    </w:p>
    <w:p>
      <w:pPr>
        <w:pStyle w:val="37"/>
        <w:ind w:firstLine="480"/>
      </w:pPr>
      <w:r>
        <w:rPr>
          <w:rFonts w:hint="eastAsia"/>
        </w:rPr>
        <w:t>就不同专业而言，本科生期望首选文化、体育和娱乐业比例最高的专业为戏剧学、电视剧创作、演出制作，最终落实文化、体育和娱乐业比例最高的专业为电视剧创作戏剧创作、导演；本科生期望首选社会服务与管理行业比例最高的专业为舞台灯光、舞台化装，最终落实社会服务与管理行业比例最高的专业为舞台灯光。</w:t>
      </w:r>
    </w:p>
    <w:p>
      <w:pPr>
        <w:pStyle w:val="53"/>
        <w:spacing w:before="312" w:after="156"/>
      </w:pPr>
      <w:r>
        <w:rPr>
          <w:rFonts w:hint="eastAsia"/>
        </w:rPr>
        <w:t>不同专业本科生期望首选与最终落实就业行业</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426"/>
        <w:gridCol w:w="1664"/>
        <w:gridCol w:w="426"/>
        <w:gridCol w:w="1345"/>
        <w:gridCol w:w="968"/>
        <w:gridCol w:w="1204"/>
        <w:gridCol w:w="1486"/>
        <w:gridCol w:w="1440"/>
        <w:gridCol w:w="895"/>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426" w:type="dxa"/>
            <w:vMerge w:val="restart"/>
            <w:tcBorders>
              <w:right w:val="dotted" w:color="00B050" w:sz="8" w:space="0"/>
            </w:tcBorders>
            <w:shd w:val="clear" w:color="auto" w:fill="auto"/>
            <w:vAlign w:val="center"/>
          </w:tcPr>
          <w:p>
            <w:pPr>
              <w:pStyle w:val="52"/>
              <w:ind w:firstLine="480"/>
              <w:jc w:val="center"/>
              <w:rPr>
                <w:szCs w:val="20"/>
              </w:rPr>
            </w:pPr>
          </w:p>
        </w:tc>
        <w:tc>
          <w:tcPr>
            <w:tcW w:w="1664"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7338" w:type="dxa"/>
            <w:gridSpan w:val="6"/>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426" w:type="dxa"/>
            <w:vMerge w:val="continue"/>
            <w:tcBorders>
              <w:right w:val="dotted" w:color="00B050" w:sz="8" w:space="0"/>
            </w:tcBorders>
            <w:shd w:val="clear" w:color="auto" w:fill="auto"/>
            <w:vAlign w:val="center"/>
          </w:tcPr>
          <w:p>
            <w:pPr>
              <w:pStyle w:val="52"/>
              <w:jc w:val="center"/>
              <w:rPr>
                <w:szCs w:val="20"/>
              </w:rPr>
            </w:pPr>
          </w:p>
        </w:tc>
        <w:tc>
          <w:tcPr>
            <w:tcW w:w="1664"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345" w:type="dxa"/>
            <w:vAlign w:val="center"/>
          </w:tcPr>
          <w:p>
            <w:pPr>
              <w:pStyle w:val="52"/>
              <w:jc w:val="center"/>
              <w:rPr>
                <w:szCs w:val="21"/>
              </w:rPr>
            </w:pPr>
            <w:r>
              <w:rPr>
                <w:rFonts w:hint="eastAsia"/>
                <w:szCs w:val="21"/>
              </w:rPr>
              <w:t>农、林、牧、渔业</w:t>
            </w:r>
          </w:p>
        </w:tc>
        <w:tc>
          <w:tcPr>
            <w:tcW w:w="968" w:type="dxa"/>
            <w:vAlign w:val="center"/>
          </w:tcPr>
          <w:p>
            <w:pPr>
              <w:pStyle w:val="52"/>
              <w:jc w:val="center"/>
              <w:rPr>
                <w:szCs w:val="21"/>
              </w:rPr>
            </w:pPr>
            <w:r>
              <w:rPr>
                <w:rFonts w:hint="eastAsia"/>
                <w:szCs w:val="21"/>
              </w:rPr>
              <w:t>商业服务业</w:t>
            </w:r>
          </w:p>
        </w:tc>
        <w:tc>
          <w:tcPr>
            <w:tcW w:w="1204" w:type="dxa"/>
            <w:vAlign w:val="center"/>
          </w:tcPr>
          <w:p>
            <w:pPr>
              <w:pStyle w:val="52"/>
              <w:jc w:val="center"/>
              <w:rPr>
                <w:szCs w:val="21"/>
              </w:rPr>
            </w:pPr>
            <w:r>
              <w:rPr>
                <w:rFonts w:hint="eastAsia"/>
                <w:szCs w:val="21"/>
              </w:rPr>
              <w:t>教育及科研行业</w:t>
            </w:r>
          </w:p>
        </w:tc>
        <w:tc>
          <w:tcPr>
            <w:tcW w:w="1486" w:type="dxa"/>
            <w:vAlign w:val="center"/>
          </w:tcPr>
          <w:p>
            <w:pPr>
              <w:pStyle w:val="52"/>
              <w:jc w:val="center"/>
              <w:rPr>
                <w:szCs w:val="21"/>
              </w:rPr>
            </w:pPr>
            <w:r>
              <w:rPr>
                <w:rFonts w:hint="eastAsia"/>
                <w:szCs w:val="21"/>
              </w:rPr>
              <w:t>文化、体育和娱乐业</w:t>
            </w:r>
          </w:p>
        </w:tc>
        <w:tc>
          <w:tcPr>
            <w:tcW w:w="1440" w:type="dxa"/>
            <w:vAlign w:val="center"/>
          </w:tcPr>
          <w:p>
            <w:pPr>
              <w:pStyle w:val="52"/>
              <w:jc w:val="center"/>
              <w:rPr>
                <w:szCs w:val="21"/>
              </w:rPr>
            </w:pPr>
            <w:r>
              <w:rPr>
                <w:rFonts w:hint="eastAsia"/>
                <w:szCs w:val="21"/>
              </w:rPr>
              <w:t>社会服务与管理行业</w:t>
            </w:r>
          </w:p>
        </w:tc>
        <w:tc>
          <w:tcPr>
            <w:tcW w:w="895" w:type="dxa"/>
            <w:shd w:val="clear" w:color="auto" w:fill="auto"/>
            <w:vAlign w:val="center"/>
          </w:tcPr>
          <w:p>
            <w:pPr>
              <w:pStyle w:val="52"/>
              <w:jc w:val="center"/>
              <w:rPr>
                <w:szCs w:val="20"/>
              </w:rPr>
            </w:pPr>
            <w:r>
              <w:rPr>
                <w:rFonts w:hint="eastAsia"/>
                <w:szCs w:val="21"/>
              </w:rPr>
              <w:t>其他行业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restart"/>
            <w:vAlign w:val="center"/>
          </w:tcPr>
          <w:p>
            <w:pPr>
              <w:pStyle w:val="52"/>
              <w:rPr>
                <w:szCs w:val="20"/>
              </w:rPr>
            </w:pPr>
            <w:r>
              <w:rPr>
                <w:rFonts w:hint="eastAsia"/>
                <w:szCs w:val="20"/>
              </w:rPr>
              <w:t>期望首选</w:t>
            </w:r>
          </w:p>
        </w:tc>
        <w:tc>
          <w:tcPr>
            <w:tcW w:w="1664" w:type="dxa"/>
            <w:shd w:val="clear" w:color="auto" w:fill="auto"/>
            <w:vAlign w:val="center"/>
          </w:tcPr>
          <w:p>
            <w:pPr>
              <w:pStyle w:val="52"/>
              <w:rPr>
                <w:szCs w:val="20"/>
              </w:rPr>
            </w:pPr>
            <w:r>
              <w:rPr>
                <w:rFonts w:hint="eastAsia"/>
                <w:szCs w:val="21"/>
              </w:rPr>
              <w:t>表演</w:t>
            </w:r>
          </w:p>
        </w:tc>
        <w:tc>
          <w:tcPr>
            <w:tcW w:w="426" w:type="dxa"/>
            <w:shd w:val="clear" w:color="auto" w:fill="auto"/>
            <w:vAlign w:val="center"/>
          </w:tcPr>
          <w:p>
            <w:pPr>
              <w:pStyle w:val="52"/>
              <w:jc w:val="center"/>
              <w:rPr>
                <w:szCs w:val="20"/>
              </w:rPr>
            </w:pPr>
            <w:r>
              <w:rPr>
                <w:szCs w:val="21"/>
              </w:rPr>
              <w:t>34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2.9</w:t>
            </w:r>
          </w:p>
        </w:tc>
        <w:tc>
          <w:tcPr>
            <w:tcW w:w="1486" w:type="dxa"/>
            <w:vAlign w:val="center"/>
          </w:tcPr>
          <w:p>
            <w:pPr>
              <w:pStyle w:val="52"/>
              <w:jc w:val="center"/>
              <w:rPr>
                <w:szCs w:val="21"/>
              </w:rPr>
            </w:pPr>
            <w:r>
              <w:rPr>
                <w:szCs w:val="21"/>
              </w:rPr>
              <w:t>70.6</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0"/>
              </w:rPr>
            </w:pPr>
            <w:r>
              <w:rPr>
                <w:szCs w:val="21"/>
              </w:rPr>
              <w:t>26.5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76.9</w:t>
            </w:r>
          </w:p>
        </w:tc>
        <w:tc>
          <w:tcPr>
            <w:tcW w:w="1440" w:type="dxa"/>
            <w:vAlign w:val="center"/>
          </w:tcPr>
          <w:p>
            <w:pPr>
              <w:pStyle w:val="52"/>
              <w:jc w:val="center"/>
              <w:rPr>
                <w:szCs w:val="21"/>
              </w:rPr>
            </w:pPr>
            <w:r>
              <w:rPr>
                <w:szCs w:val="21"/>
              </w:rPr>
              <w:t>7.7</w:t>
            </w:r>
          </w:p>
        </w:tc>
        <w:tc>
          <w:tcPr>
            <w:tcW w:w="895" w:type="dxa"/>
            <w:shd w:val="clear" w:color="auto" w:fill="auto"/>
            <w:vAlign w:val="center"/>
          </w:tcPr>
          <w:p>
            <w:pPr>
              <w:pStyle w:val="52"/>
              <w:jc w:val="center"/>
              <w:rPr>
                <w:szCs w:val="21"/>
              </w:rPr>
            </w:pPr>
            <w:r>
              <w:rPr>
                <w:szCs w:val="21"/>
              </w:rPr>
              <w:t>15.4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25.0</w:t>
            </w:r>
          </w:p>
        </w:tc>
        <w:tc>
          <w:tcPr>
            <w:tcW w:w="1486" w:type="dxa"/>
            <w:vAlign w:val="center"/>
          </w:tcPr>
          <w:p>
            <w:pPr>
              <w:pStyle w:val="52"/>
              <w:jc w:val="center"/>
              <w:rPr>
                <w:szCs w:val="21"/>
              </w:rPr>
            </w:pPr>
            <w:r>
              <w:rPr>
                <w:szCs w:val="21"/>
              </w:rPr>
              <w:t>50.0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25.0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33.3</w:t>
            </w:r>
          </w:p>
        </w:tc>
        <w:tc>
          <w:tcPr>
            <w:tcW w:w="1440" w:type="dxa"/>
            <w:vAlign w:val="center"/>
          </w:tcPr>
          <w:p>
            <w:pPr>
              <w:pStyle w:val="52"/>
              <w:jc w:val="center"/>
              <w:rPr>
                <w:szCs w:val="21"/>
              </w:rPr>
            </w:pPr>
            <w:r>
              <w:rPr>
                <w:szCs w:val="21"/>
              </w:rPr>
              <w:t>33.3</w:t>
            </w:r>
          </w:p>
        </w:tc>
        <w:tc>
          <w:tcPr>
            <w:tcW w:w="895" w:type="dxa"/>
            <w:shd w:val="clear" w:color="auto" w:fill="auto"/>
            <w:vAlign w:val="center"/>
          </w:tcPr>
          <w:p>
            <w:pPr>
              <w:pStyle w:val="52"/>
              <w:jc w:val="center"/>
              <w:rPr>
                <w:szCs w:val="21"/>
              </w:rPr>
            </w:pPr>
            <w:r>
              <w:rPr>
                <w:szCs w:val="21"/>
              </w:rPr>
              <w:t>33.3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75.0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25.0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66.7</w:t>
            </w:r>
          </w:p>
        </w:tc>
        <w:tc>
          <w:tcPr>
            <w:tcW w:w="1440" w:type="dxa"/>
            <w:vAlign w:val="center"/>
          </w:tcPr>
          <w:p>
            <w:pPr>
              <w:pStyle w:val="52"/>
              <w:jc w:val="center"/>
              <w:rPr>
                <w:szCs w:val="21"/>
              </w:rPr>
            </w:pPr>
            <w:r>
              <w:rPr>
                <w:szCs w:val="21"/>
              </w:rPr>
              <w:t>33.3</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57.1</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42.9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90.0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10.0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8</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87.5</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12.5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92.9</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7.1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restart"/>
            <w:vAlign w:val="center"/>
          </w:tcPr>
          <w:p>
            <w:pPr>
              <w:pStyle w:val="52"/>
              <w:rPr>
                <w:szCs w:val="20"/>
              </w:rPr>
            </w:pPr>
            <w:r>
              <w:rPr>
                <w:rFonts w:hint="eastAsia"/>
                <w:szCs w:val="20"/>
              </w:rPr>
              <w:t>最终落实</w:t>
            </w:r>
          </w:p>
        </w:tc>
        <w:tc>
          <w:tcPr>
            <w:tcW w:w="1664" w:type="dxa"/>
            <w:shd w:val="clear" w:color="auto" w:fill="auto"/>
            <w:vAlign w:val="center"/>
          </w:tcPr>
          <w:p>
            <w:pPr>
              <w:pStyle w:val="52"/>
              <w:rPr>
                <w:szCs w:val="21"/>
              </w:rPr>
            </w:pPr>
            <w:r>
              <w:rPr>
                <w:rFonts w:hint="eastAsia"/>
                <w:szCs w:val="21"/>
              </w:rPr>
              <w:t>表演</w:t>
            </w:r>
          </w:p>
        </w:tc>
        <w:tc>
          <w:tcPr>
            <w:tcW w:w="426" w:type="dxa"/>
            <w:shd w:val="clear" w:color="auto" w:fill="auto"/>
            <w:vAlign w:val="center"/>
          </w:tcPr>
          <w:p>
            <w:pPr>
              <w:pStyle w:val="52"/>
              <w:jc w:val="center"/>
              <w:rPr>
                <w:szCs w:val="21"/>
              </w:rPr>
            </w:pPr>
            <w:r>
              <w:rPr>
                <w:szCs w:val="21"/>
              </w:rPr>
              <w:t>30</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80.0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20.0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播音与主持</w:t>
            </w:r>
          </w:p>
        </w:tc>
        <w:tc>
          <w:tcPr>
            <w:tcW w:w="426" w:type="dxa"/>
            <w:shd w:val="clear" w:color="auto" w:fill="auto"/>
            <w:vAlign w:val="center"/>
          </w:tcPr>
          <w:p>
            <w:pPr>
              <w:pStyle w:val="52"/>
              <w:jc w:val="center"/>
              <w:rPr>
                <w:szCs w:val="21"/>
              </w:rPr>
            </w:pPr>
            <w:r>
              <w:rPr>
                <w:szCs w:val="21"/>
              </w:rPr>
              <w:t>13</w:t>
            </w:r>
          </w:p>
        </w:tc>
        <w:tc>
          <w:tcPr>
            <w:tcW w:w="1345" w:type="dxa"/>
            <w:vAlign w:val="center"/>
          </w:tcPr>
          <w:p>
            <w:pPr>
              <w:pStyle w:val="52"/>
              <w:jc w:val="center"/>
              <w:rPr>
                <w:szCs w:val="21"/>
              </w:rPr>
            </w:pPr>
            <w:r>
              <w:rPr>
                <w:szCs w:val="21"/>
              </w:rPr>
              <w:t>7.7</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69.2</w:t>
            </w:r>
          </w:p>
        </w:tc>
        <w:tc>
          <w:tcPr>
            <w:tcW w:w="1440" w:type="dxa"/>
            <w:vAlign w:val="center"/>
          </w:tcPr>
          <w:p>
            <w:pPr>
              <w:pStyle w:val="52"/>
              <w:jc w:val="center"/>
              <w:rPr>
                <w:szCs w:val="21"/>
              </w:rPr>
            </w:pPr>
            <w:r>
              <w:rPr>
                <w:szCs w:val="21"/>
              </w:rPr>
              <w:t>7.7</w:t>
            </w:r>
          </w:p>
        </w:tc>
        <w:tc>
          <w:tcPr>
            <w:tcW w:w="895" w:type="dxa"/>
            <w:shd w:val="clear" w:color="auto" w:fill="auto"/>
            <w:vAlign w:val="center"/>
          </w:tcPr>
          <w:p>
            <w:pPr>
              <w:pStyle w:val="52"/>
              <w:jc w:val="center"/>
              <w:rPr>
                <w:szCs w:val="21"/>
              </w:rPr>
            </w:pPr>
            <w:r>
              <w:rPr>
                <w:szCs w:val="21"/>
              </w:rPr>
              <w:t>15.4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导演</w:t>
            </w:r>
          </w:p>
        </w:tc>
        <w:tc>
          <w:tcPr>
            <w:tcW w:w="426" w:type="dxa"/>
            <w:shd w:val="clear" w:color="auto" w:fill="auto"/>
            <w:vAlign w:val="center"/>
          </w:tcPr>
          <w:p>
            <w:pPr>
              <w:pStyle w:val="52"/>
              <w:jc w:val="center"/>
              <w:rPr>
                <w:szCs w:val="21"/>
              </w:rPr>
            </w:pPr>
            <w:r>
              <w:rPr>
                <w:szCs w:val="21"/>
              </w:rPr>
              <w:t>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电视剧创作</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舞台灯光</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33.3</w:t>
            </w:r>
          </w:p>
        </w:tc>
        <w:tc>
          <w:tcPr>
            <w:tcW w:w="1440" w:type="dxa"/>
            <w:vAlign w:val="center"/>
          </w:tcPr>
          <w:p>
            <w:pPr>
              <w:pStyle w:val="52"/>
              <w:jc w:val="center"/>
              <w:rPr>
                <w:szCs w:val="21"/>
              </w:rPr>
            </w:pPr>
            <w:r>
              <w:rPr>
                <w:szCs w:val="21"/>
              </w:rPr>
              <w:t>33.3</w:t>
            </w:r>
          </w:p>
        </w:tc>
        <w:tc>
          <w:tcPr>
            <w:tcW w:w="895" w:type="dxa"/>
            <w:shd w:val="clear" w:color="auto" w:fill="auto"/>
            <w:vAlign w:val="center"/>
          </w:tcPr>
          <w:p>
            <w:pPr>
              <w:pStyle w:val="52"/>
              <w:jc w:val="center"/>
              <w:rPr>
                <w:szCs w:val="21"/>
              </w:rPr>
            </w:pPr>
            <w:r>
              <w:rPr>
                <w:szCs w:val="21"/>
              </w:rPr>
              <w:t>33.3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舞台服装</w:t>
            </w:r>
          </w:p>
        </w:tc>
        <w:tc>
          <w:tcPr>
            <w:tcW w:w="426" w:type="dxa"/>
            <w:shd w:val="clear" w:color="auto" w:fill="auto"/>
            <w:vAlign w:val="center"/>
          </w:tcPr>
          <w:p>
            <w:pPr>
              <w:pStyle w:val="52"/>
              <w:jc w:val="center"/>
              <w:rPr>
                <w:szCs w:val="21"/>
              </w:rPr>
            </w:pPr>
            <w:r>
              <w:rPr>
                <w:szCs w:val="21"/>
              </w:rPr>
              <w:t>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25.0</w:t>
            </w:r>
          </w:p>
        </w:tc>
        <w:tc>
          <w:tcPr>
            <w:tcW w:w="1486" w:type="dxa"/>
            <w:vAlign w:val="center"/>
          </w:tcPr>
          <w:p>
            <w:pPr>
              <w:pStyle w:val="52"/>
              <w:jc w:val="center"/>
              <w:rPr>
                <w:szCs w:val="21"/>
              </w:rPr>
            </w:pPr>
            <w:r>
              <w:rPr>
                <w:szCs w:val="21"/>
              </w:rPr>
              <w:t>50.0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25.0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舞台化装</w:t>
            </w:r>
          </w:p>
        </w:tc>
        <w:tc>
          <w:tcPr>
            <w:tcW w:w="426" w:type="dxa"/>
            <w:shd w:val="clear" w:color="auto" w:fill="auto"/>
            <w:vAlign w:val="center"/>
          </w:tcPr>
          <w:p>
            <w:pPr>
              <w:pStyle w:val="52"/>
              <w:jc w:val="center"/>
              <w:rPr>
                <w:szCs w:val="21"/>
              </w:rPr>
            </w:pPr>
            <w:r>
              <w:rPr>
                <w:szCs w:val="21"/>
              </w:rPr>
              <w:t>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33.3</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66.7</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舞台绘景</w:t>
            </w:r>
          </w:p>
        </w:tc>
        <w:tc>
          <w:tcPr>
            <w:tcW w:w="426" w:type="dxa"/>
            <w:shd w:val="clear" w:color="auto" w:fill="auto"/>
            <w:vAlign w:val="center"/>
          </w:tcPr>
          <w:p>
            <w:pPr>
              <w:pStyle w:val="52"/>
              <w:jc w:val="center"/>
              <w:rPr>
                <w:szCs w:val="21"/>
              </w:rPr>
            </w:pPr>
            <w:r>
              <w:rPr>
                <w:szCs w:val="21"/>
              </w:rPr>
              <w:t>7</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14.3</w:t>
            </w:r>
          </w:p>
        </w:tc>
        <w:tc>
          <w:tcPr>
            <w:tcW w:w="1486" w:type="dxa"/>
            <w:vAlign w:val="center"/>
          </w:tcPr>
          <w:p>
            <w:pPr>
              <w:pStyle w:val="52"/>
              <w:jc w:val="center"/>
              <w:rPr>
                <w:szCs w:val="21"/>
              </w:rPr>
            </w:pPr>
            <w:r>
              <w:rPr>
                <w:szCs w:val="21"/>
              </w:rPr>
              <w:t>42.9</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42.9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舞台设计</w:t>
            </w:r>
          </w:p>
        </w:tc>
        <w:tc>
          <w:tcPr>
            <w:tcW w:w="426" w:type="dxa"/>
            <w:shd w:val="clear" w:color="auto" w:fill="auto"/>
            <w:vAlign w:val="center"/>
          </w:tcPr>
          <w:p>
            <w:pPr>
              <w:pStyle w:val="52"/>
              <w:jc w:val="center"/>
              <w:rPr>
                <w:szCs w:val="21"/>
              </w:rPr>
            </w:pPr>
            <w:r>
              <w:rPr>
                <w:szCs w:val="21"/>
              </w:rPr>
              <w:t>1</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戏剧创作</w:t>
            </w:r>
          </w:p>
        </w:tc>
        <w:tc>
          <w:tcPr>
            <w:tcW w:w="426" w:type="dxa"/>
            <w:shd w:val="clear" w:color="auto" w:fill="auto"/>
            <w:vAlign w:val="center"/>
          </w:tcPr>
          <w:p>
            <w:pPr>
              <w:pStyle w:val="52"/>
              <w:jc w:val="center"/>
              <w:rPr>
                <w:szCs w:val="21"/>
              </w:rPr>
            </w:pPr>
            <w:r>
              <w:rPr>
                <w:szCs w:val="21"/>
              </w:rPr>
              <w:t>10</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100.0</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戏剧学</w:t>
            </w:r>
          </w:p>
        </w:tc>
        <w:tc>
          <w:tcPr>
            <w:tcW w:w="426" w:type="dxa"/>
            <w:shd w:val="clear" w:color="auto" w:fill="auto"/>
            <w:vAlign w:val="center"/>
          </w:tcPr>
          <w:p>
            <w:pPr>
              <w:pStyle w:val="52"/>
              <w:jc w:val="center"/>
              <w:rPr>
                <w:szCs w:val="21"/>
              </w:rPr>
            </w:pPr>
            <w:r>
              <w:rPr>
                <w:szCs w:val="21"/>
              </w:rPr>
              <w:t>12</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8.3</w:t>
            </w:r>
          </w:p>
        </w:tc>
        <w:tc>
          <w:tcPr>
            <w:tcW w:w="1486" w:type="dxa"/>
            <w:vAlign w:val="center"/>
          </w:tcPr>
          <w:p>
            <w:pPr>
              <w:pStyle w:val="52"/>
              <w:jc w:val="center"/>
              <w:rPr>
                <w:szCs w:val="21"/>
              </w:rPr>
            </w:pPr>
            <w:r>
              <w:rPr>
                <w:szCs w:val="21"/>
              </w:rPr>
              <w:t>83.3</w:t>
            </w:r>
          </w:p>
        </w:tc>
        <w:tc>
          <w:tcPr>
            <w:tcW w:w="1440" w:type="dxa"/>
            <w:vAlign w:val="center"/>
          </w:tcPr>
          <w:p>
            <w:pPr>
              <w:pStyle w:val="52"/>
              <w:jc w:val="center"/>
              <w:rPr>
                <w:szCs w:val="21"/>
              </w:rPr>
            </w:pPr>
            <w:r>
              <w:rPr>
                <w:szCs w:val="21"/>
              </w:rPr>
              <w:t>8.3</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演出制作</w:t>
            </w:r>
          </w:p>
        </w:tc>
        <w:tc>
          <w:tcPr>
            <w:tcW w:w="426" w:type="dxa"/>
            <w:shd w:val="clear" w:color="auto" w:fill="auto"/>
            <w:vAlign w:val="center"/>
          </w:tcPr>
          <w:p>
            <w:pPr>
              <w:pStyle w:val="52"/>
              <w:jc w:val="center"/>
              <w:rPr>
                <w:szCs w:val="21"/>
              </w:rPr>
            </w:pPr>
            <w:r>
              <w:rPr>
                <w:szCs w:val="21"/>
              </w:rPr>
              <w:t>13</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7.7</w:t>
            </w:r>
          </w:p>
        </w:tc>
        <w:tc>
          <w:tcPr>
            <w:tcW w:w="1486" w:type="dxa"/>
            <w:vAlign w:val="center"/>
          </w:tcPr>
          <w:p>
            <w:pPr>
              <w:pStyle w:val="52"/>
              <w:jc w:val="center"/>
              <w:rPr>
                <w:szCs w:val="21"/>
              </w:rPr>
            </w:pPr>
            <w:r>
              <w:rPr>
                <w:szCs w:val="21"/>
              </w:rPr>
              <w:t>92.3</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影视编导</w:t>
            </w:r>
          </w:p>
        </w:tc>
        <w:tc>
          <w:tcPr>
            <w:tcW w:w="426" w:type="dxa"/>
            <w:shd w:val="clear" w:color="auto" w:fill="auto"/>
            <w:vAlign w:val="center"/>
          </w:tcPr>
          <w:p>
            <w:pPr>
              <w:pStyle w:val="52"/>
              <w:jc w:val="center"/>
              <w:rPr>
                <w:szCs w:val="21"/>
              </w:rPr>
            </w:pPr>
            <w:r>
              <w:rPr>
                <w:szCs w:val="21"/>
              </w:rPr>
              <w:t>7</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71.4</w:t>
            </w:r>
          </w:p>
        </w:tc>
        <w:tc>
          <w:tcPr>
            <w:tcW w:w="1440" w:type="dxa"/>
            <w:vAlign w:val="center"/>
          </w:tcPr>
          <w:p>
            <w:pPr>
              <w:pStyle w:val="52"/>
              <w:jc w:val="center"/>
              <w:rPr>
                <w:szCs w:val="21"/>
              </w:rPr>
            </w:pPr>
            <w:r>
              <w:rPr>
                <w:szCs w:val="21"/>
              </w:rPr>
              <w:t>14.3</w:t>
            </w:r>
          </w:p>
        </w:tc>
        <w:tc>
          <w:tcPr>
            <w:tcW w:w="895" w:type="dxa"/>
            <w:shd w:val="clear" w:color="auto" w:fill="auto"/>
            <w:vAlign w:val="center"/>
          </w:tcPr>
          <w:p>
            <w:pPr>
              <w:pStyle w:val="52"/>
              <w:jc w:val="center"/>
              <w:rPr>
                <w:szCs w:val="21"/>
              </w:rPr>
            </w:pPr>
            <w:r>
              <w:rPr>
                <w:szCs w:val="21"/>
              </w:rPr>
              <w:t>14.3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426" w:type="dxa"/>
            <w:vMerge w:val="continue"/>
            <w:vAlign w:val="center"/>
          </w:tcPr>
          <w:p>
            <w:pPr>
              <w:pStyle w:val="52"/>
              <w:rPr>
                <w:szCs w:val="20"/>
              </w:rPr>
            </w:pPr>
          </w:p>
        </w:tc>
        <w:tc>
          <w:tcPr>
            <w:tcW w:w="1664" w:type="dxa"/>
            <w:shd w:val="clear" w:color="auto" w:fill="auto"/>
            <w:vAlign w:val="center"/>
          </w:tcPr>
          <w:p>
            <w:pPr>
              <w:pStyle w:val="52"/>
              <w:rPr>
                <w:szCs w:val="21"/>
              </w:rPr>
            </w:pPr>
            <w:r>
              <w:rPr>
                <w:rFonts w:hint="eastAsia"/>
                <w:szCs w:val="21"/>
              </w:rPr>
              <w:t>制片管理</w:t>
            </w:r>
          </w:p>
        </w:tc>
        <w:tc>
          <w:tcPr>
            <w:tcW w:w="426" w:type="dxa"/>
            <w:shd w:val="clear" w:color="auto" w:fill="auto"/>
            <w:vAlign w:val="center"/>
          </w:tcPr>
          <w:p>
            <w:pPr>
              <w:pStyle w:val="52"/>
              <w:jc w:val="center"/>
              <w:rPr>
                <w:szCs w:val="21"/>
              </w:rPr>
            </w:pPr>
            <w:r>
              <w:rPr>
                <w:szCs w:val="21"/>
              </w:rPr>
              <w:t>14</w:t>
            </w:r>
          </w:p>
        </w:tc>
        <w:tc>
          <w:tcPr>
            <w:tcW w:w="1345" w:type="dxa"/>
            <w:vAlign w:val="center"/>
          </w:tcPr>
          <w:p>
            <w:pPr>
              <w:pStyle w:val="52"/>
              <w:jc w:val="center"/>
              <w:rPr>
                <w:szCs w:val="21"/>
              </w:rPr>
            </w:pPr>
            <w:r>
              <w:rPr>
                <w:szCs w:val="21"/>
              </w:rPr>
              <w:t>0.0</w:t>
            </w:r>
          </w:p>
        </w:tc>
        <w:tc>
          <w:tcPr>
            <w:tcW w:w="968" w:type="dxa"/>
            <w:vAlign w:val="center"/>
          </w:tcPr>
          <w:p>
            <w:pPr>
              <w:pStyle w:val="52"/>
              <w:jc w:val="center"/>
              <w:rPr>
                <w:szCs w:val="21"/>
              </w:rPr>
            </w:pPr>
            <w:r>
              <w:rPr>
                <w:szCs w:val="21"/>
              </w:rPr>
              <w:t>0.0</w:t>
            </w:r>
          </w:p>
        </w:tc>
        <w:tc>
          <w:tcPr>
            <w:tcW w:w="1204" w:type="dxa"/>
            <w:vAlign w:val="center"/>
          </w:tcPr>
          <w:p>
            <w:pPr>
              <w:pStyle w:val="52"/>
              <w:jc w:val="center"/>
              <w:rPr>
                <w:szCs w:val="21"/>
              </w:rPr>
            </w:pPr>
            <w:r>
              <w:rPr>
                <w:szCs w:val="21"/>
              </w:rPr>
              <w:t>0.0</w:t>
            </w:r>
          </w:p>
        </w:tc>
        <w:tc>
          <w:tcPr>
            <w:tcW w:w="1486" w:type="dxa"/>
            <w:vAlign w:val="center"/>
          </w:tcPr>
          <w:p>
            <w:pPr>
              <w:pStyle w:val="52"/>
              <w:jc w:val="center"/>
              <w:rPr>
                <w:szCs w:val="21"/>
              </w:rPr>
            </w:pPr>
            <w:r>
              <w:rPr>
                <w:szCs w:val="21"/>
              </w:rPr>
              <w:t>92.9</w:t>
            </w:r>
          </w:p>
        </w:tc>
        <w:tc>
          <w:tcPr>
            <w:tcW w:w="1440" w:type="dxa"/>
            <w:vAlign w:val="center"/>
          </w:tcPr>
          <w:p>
            <w:pPr>
              <w:pStyle w:val="52"/>
              <w:jc w:val="center"/>
              <w:rPr>
                <w:szCs w:val="21"/>
              </w:rPr>
            </w:pPr>
            <w:r>
              <w:rPr>
                <w:szCs w:val="21"/>
              </w:rPr>
              <w:t>0.0</w:t>
            </w:r>
          </w:p>
        </w:tc>
        <w:tc>
          <w:tcPr>
            <w:tcW w:w="895" w:type="dxa"/>
            <w:shd w:val="clear" w:color="auto" w:fill="auto"/>
            <w:vAlign w:val="center"/>
          </w:tcPr>
          <w:p>
            <w:pPr>
              <w:pStyle w:val="52"/>
              <w:jc w:val="center"/>
              <w:rPr>
                <w:szCs w:val="21"/>
              </w:rPr>
            </w:pPr>
            <w:r>
              <w:rPr>
                <w:szCs w:val="21"/>
              </w:rPr>
              <w:t>7.1</w:t>
            </w:r>
          </w:p>
        </w:tc>
      </w:tr>
    </w:tbl>
    <w:p>
      <w:pPr>
        <w:pStyle w:val="37"/>
        <w:ind w:firstLine="0" w:firstLineChars="0"/>
      </w:pPr>
    </w:p>
    <w:p>
      <w:pPr>
        <w:pStyle w:val="67"/>
      </w:pPr>
      <w:bookmarkStart w:id="138" w:name="_Toc470167398"/>
      <w:r>
        <w:rPr>
          <w:rFonts w:hint="eastAsia"/>
        </w:rPr>
        <w:t>6、年薪</w:t>
      </w:r>
      <w:bookmarkEnd w:id="138"/>
    </w:p>
    <w:p>
      <w:pPr>
        <w:pStyle w:val="70"/>
      </w:pPr>
      <w:bookmarkStart w:id="139" w:name="PO_3324"/>
      <w:bookmarkEnd w:id="139"/>
      <w:r>
        <w:rPr>
          <w:rFonts w:hint="eastAsia"/>
        </w:rPr>
        <w:t>（1）总体情况</w:t>
      </w:r>
    </w:p>
    <w:p>
      <w:pPr>
        <w:pStyle w:val="37"/>
        <w:ind w:firstLine="480"/>
      </w:pPr>
      <w:r>
        <w:rPr>
          <w:rFonts w:hint="eastAsia"/>
        </w:rPr>
        <w:t>就总体而言，本科生期望工作转正后平均年薪13.50万元，而最终落实的平均年薪为9.78万元，低于期望年薪。</w:t>
      </w:r>
    </w:p>
    <w:p>
      <w:pPr>
        <w:jc w:val="center"/>
      </w:pPr>
      <w:r>
        <w:rPr>
          <w:rFonts w:hint="eastAsia"/>
        </w:rPr>
        <w:drawing>
          <wp:inline distT="0" distB="0" distL="0" distR="0">
            <wp:extent cx="6124575" cy="3077210"/>
            <wp:effectExtent l="19050" t="0" r="9525" b="8890"/>
            <wp:docPr id="39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59"/>
        <w:spacing w:before="156" w:after="312"/>
      </w:pPr>
      <w:r>
        <w:rPr>
          <w:rFonts w:hint="eastAsia"/>
        </w:rPr>
        <w:t>期望与落实年薪（万元）</w:t>
      </w:r>
    </w:p>
    <w:p>
      <w:pPr>
        <w:pStyle w:val="53"/>
        <w:spacing w:before="312" w:after="156"/>
      </w:pPr>
      <w:r>
        <w:rPr>
          <w:rFonts w:hint="eastAsia"/>
        </w:rPr>
        <w:t>期望与落实年薪（万元）</w:t>
      </w:r>
    </w:p>
    <w:tbl>
      <w:tblPr>
        <w:tblStyle w:val="33"/>
        <w:tblW w:w="512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80"/>
        <w:gridCol w:w="1080"/>
        <w:gridCol w:w="979"/>
        <w:gridCol w:w="992"/>
        <w:gridCol w:w="993"/>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80"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szCs w:val="18"/>
              </w:rPr>
              <w:t>N</w:t>
            </w:r>
          </w:p>
        </w:tc>
        <w:tc>
          <w:tcPr>
            <w:tcW w:w="979" w:type="dxa"/>
            <w:shd w:val="clear" w:color="auto" w:fill="auto"/>
            <w:vAlign w:val="center"/>
          </w:tcPr>
          <w:p>
            <w:pPr>
              <w:pStyle w:val="52"/>
              <w:jc w:val="center"/>
              <w:rPr>
                <w:szCs w:val="20"/>
              </w:rPr>
            </w:pPr>
            <w:r>
              <w:rPr>
                <w:rFonts w:hint="eastAsia"/>
                <w:szCs w:val="18"/>
              </w:rPr>
              <w:t>均值</w:t>
            </w:r>
          </w:p>
        </w:tc>
        <w:tc>
          <w:tcPr>
            <w:tcW w:w="992" w:type="dxa"/>
            <w:shd w:val="clear" w:color="auto" w:fill="auto"/>
            <w:vAlign w:val="center"/>
          </w:tcPr>
          <w:p>
            <w:pPr>
              <w:pStyle w:val="52"/>
              <w:jc w:val="center"/>
              <w:rPr>
                <w:szCs w:val="20"/>
              </w:rPr>
            </w:pPr>
            <w:r>
              <w:rPr>
                <w:rFonts w:hint="eastAsia"/>
                <w:szCs w:val="18"/>
              </w:rPr>
              <w:t>标准差</w:t>
            </w:r>
          </w:p>
        </w:tc>
        <w:tc>
          <w:tcPr>
            <w:tcW w:w="993" w:type="dxa"/>
            <w:vAlign w:val="center"/>
          </w:tcPr>
          <w:p>
            <w:pPr>
              <w:pStyle w:val="52"/>
              <w:jc w:val="center"/>
              <w:rPr>
                <w:szCs w:val="18"/>
              </w:rPr>
            </w:pPr>
            <w:r>
              <w:rPr>
                <w:rFonts w:hint="eastAsia"/>
                <w:szCs w:val="18"/>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rPr>
              <w:t>期望年薪</w:t>
            </w:r>
          </w:p>
        </w:tc>
        <w:tc>
          <w:tcPr>
            <w:tcW w:w="1080" w:type="dxa"/>
            <w:shd w:val="clear" w:color="auto" w:fill="auto"/>
            <w:vAlign w:val="center"/>
          </w:tcPr>
          <w:p>
            <w:pPr>
              <w:pStyle w:val="52"/>
              <w:jc w:val="center"/>
              <w:rPr>
                <w:szCs w:val="20"/>
              </w:rPr>
            </w:pPr>
            <w:r>
              <w:rPr>
                <w:szCs w:val="18"/>
              </w:rPr>
              <w:t>122</w:t>
            </w:r>
          </w:p>
        </w:tc>
        <w:tc>
          <w:tcPr>
            <w:tcW w:w="979" w:type="dxa"/>
            <w:shd w:val="clear" w:color="auto" w:fill="auto"/>
            <w:vAlign w:val="center"/>
          </w:tcPr>
          <w:p>
            <w:pPr>
              <w:pStyle w:val="52"/>
              <w:jc w:val="center"/>
              <w:rPr>
                <w:szCs w:val="20"/>
              </w:rPr>
            </w:pPr>
            <w:r>
              <w:rPr>
                <w:szCs w:val="18"/>
              </w:rPr>
              <w:t>13.50</w:t>
            </w:r>
          </w:p>
        </w:tc>
        <w:tc>
          <w:tcPr>
            <w:tcW w:w="992" w:type="dxa"/>
            <w:shd w:val="clear" w:color="auto" w:fill="auto"/>
            <w:vAlign w:val="center"/>
          </w:tcPr>
          <w:p>
            <w:pPr>
              <w:pStyle w:val="52"/>
              <w:jc w:val="center"/>
              <w:rPr>
                <w:szCs w:val="20"/>
              </w:rPr>
            </w:pPr>
            <w:r>
              <w:rPr>
                <w:szCs w:val="18"/>
              </w:rPr>
              <w:t>10.84</w:t>
            </w:r>
          </w:p>
        </w:tc>
        <w:tc>
          <w:tcPr>
            <w:tcW w:w="993" w:type="dxa"/>
            <w:vAlign w:val="center"/>
          </w:tcPr>
          <w:p>
            <w:pPr>
              <w:pStyle w:val="52"/>
              <w:jc w:val="center"/>
              <w:rPr>
                <w:szCs w:val="18"/>
              </w:rPr>
            </w:pPr>
            <w:r>
              <w:rPr>
                <w:szCs w:val="18"/>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szCs w:val="18"/>
              </w:rPr>
              <w:t>最终落实</w:t>
            </w:r>
          </w:p>
        </w:tc>
        <w:tc>
          <w:tcPr>
            <w:tcW w:w="1080" w:type="dxa"/>
            <w:shd w:val="clear" w:color="auto" w:fill="auto"/>
            <w:vAlign w:val="center"/>
          </w:tcPr>
          <w:p>
            <w:pPr>
              <w:pStyle w:val="52"/>
              <w:jc w:val="center"/>
              <w:rPr>
                <w:szCs w:val="20"/>
              </w:rPr>
            </w:pPr>
            <w:r>
              <w:rPr>
                <w:szCs w:val="18"/>
              </w:rPr>
              <w:t>119</w:t>
            </w:r>
          </w:p>
        </w:tc>
        <w:tc>
          <w:tcPr>
            <w:tcW w:w="979" w:type="dxa"/>
            <w:shd w:val="clear" w:color="auto" w:fill="auto"/>
            <w:vAlign w:val="center"/>
          </w:tcPr>
          <w:p>
            <w:pPr>
              <w:pStyle w:val="52"/>
              <w:jc w:val="center"/>
              <w:rPr>
                <w:szCs w:val="20"/>
              </w:rPr>
            </w:pPr>
            <w:r>
              <w:rPr>
                <w:szCs w:val="18"/>
              </w:rPr>
              <w:t>9.78</w:t>
            </w:r>
          </w:p>
        </w:tc>
        <w:tc>
          <w:tcPr>
            <w:tcW w:w="992" w:type="dxa"/>
            <w:shd w:val="clear" w:color="auto" w:fill="auto"/>
            <w:vAlign w:val="center"/>
          </w:tcPr>
          <w:p>
            <w:pPr>
              <w:pStyle w:val="52"/>
              <w:jc w:val="center"/>
              <w:rPr>
                <w:szCs w:val="20"/>
              </w:rPr>
            </w:pPr>
            <w:r>
              <w:rPr>
                <w:szCs w:val="18"/>
              </w:rPr>
              <w:t>7.05</w:t>
            </w:r>
          </w:p>
        </w:tc>
        <w:tc>
          <w:tcPr>
            <w:tcW w:w="993" w:type="dxa"/>
            <w:vAlign w:val="center"/>
          </w:tcPr>
          <w:p>
            <w:pPr>
              <w:pStyle w:val="52"/>
              <w:jc w:val="center"/>
              <w:rPr>
                <w:szCs w:val="18"/>
              </w:rPr>
            </w:pPr>
            <w:r>
              <w:rPr>
                <w:szCs w:val="18"/>
              </w:rPr>
              <w:t>9.00</w:t>
            </w:r>
          </w:p>
        </w:tc>
      </w:tr>
    </w:tbl>
    <w:p>
      <w:pPr>
        <w:pStyle w:val="70"/>
      </w:pPr>
      <w:r>
        <w:rPr>
          <w:rFonts w:hint="eastAsia"/>
        </w:rPr>
        <w:t>（2）不同专业本科生年薪</w:t>
      </w:r>
    </w:p>
    <w:p>
      <w:pPr>
        <w:pStyle w:val="37"/>
        <w:ind w:firstLine="480"/>
      </w:pPr>
      <w:r>
        <w:rPr>
          <w:rFonts w:hint="eastAsia"/>
        </w:rPr>
        <w:t>就不同专业而言，舞台绘景专业本科生最终落实的年薪显著高于期望的年薪；表演等11个专业本科生最终落实的年薪显著低于期望的年薪。期望年薪最高的是舞台灯光专业（26.00万元），最低的是舞台设计专业（1.60万元）；最终落实年薪最高的是舞台灯光专业（13.33万元），最低的是舞台设计专业（1.20万元）。</w:t>
      </w:r>
    </w:p>
    <w:p>
      <w:pPr>
        <w:jc w:val="center"/>
      </w:pPr>
      <w:r>
        <w:rPr>
          <w:rFonts w:hint="eastAsia"/>
        </w:rPr>
        <w:drawing>
          <wp:inline distT="0" distB="0" distL="0" distR="0">
            <wp:extent cx="6134100" cy="3077210"/>
            <wp:effectExtent l="19050" t="0" r="19050" b="8890"/>
            <wp:docPr id="40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59"/>
        <w:spacing w:before="156" w:after="312"/>
      </w:pPr>
      <w:r>
        <w:rPr>
          <w:rFonts w:hint="eastAsia"/>
        </w:rPr>
        <w:t>不同专业本科生期望与落实年薪（万元）</w:t>
      </w:r>
    </w:p>
    <w:p>
      <w:pPr>
        <w:pStyle w:val="53"/>
        <w:spacing w:before="312" w:after="156"/>
      </w:pPr>
      <w:r>
        <w:rPr>
          <w:rFonts w:hint="eastAsia"/>
        </w:rPr>
        <w:t>不同专业本科生期望与落实年薪（万元）</w:t>
      </w:r>
    </w:p>
    <w:tbl>
      <w:tblPr>
        <w:tblStyle w:val="33"/>
        <w:tblW w:w="9467" w:type="dxa"/>
        <w:jc w:val="center"/>
        <w:tblInd w:w="0" w:type="dxa"/>
        <w:tblLayout w:type="fixed"/>
        <w:tblCellMar>
          <w:top w:w="0" w:type="dxa"/>
          <w:left w:w="108" w:type="dxa"/>
          <w:bottom w:w="0" w:type="dxa"/>
          <w:right w:w="108" w:type="dxa"/>
        </w:tblCellMar>
      </w:tblPr>
      <w:tblGrid>
        <w:gridCol w:w="2755"/>
        <w:gridCol w:w="634"/>
        <w:gridCol w:w="966"/>
        <w:gridCol w:w="993"/>
        <w:gridCol w:w="909"/>
        <w:gridCol w:w="709"/>
        <w:gridCol w:w="851"/>
        <w:gridCol w:w="850"/>
        <w:gridCol w:w="800"/>
      </w:tblGrid>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right w:val="dotted" w:color="00B050" w:sz="8" w:space="0"/>
            </w:tcBorders>
            <w:shd w:val="clear" w:color="auto" w:fill="auto"/>
            <w:vAlign w:val="center"/>
          </w:tcPr>
          <w:p>
            <w:pPr>
              <w:pStyle w:val="52"/>
              <w:ind w:firstLine="480"/>
              <w:jc w:val="center"/>
              <w:rPr>
                <w:szCs w:val="20"/>
              </w:rPr>
            </w:pPr>
          </w:p>
        </w:tc>
        <w:tc>
          <w:tcPr>
            <w:tcW w:w="3502"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期望年薪</w:t>
            </w:r>
          </w:p>
        </w:tc>
        <w:tc>
          <w:tcPr>
            <w:tcW w:w="3210" w:type="dxa"/>
            <w:gridSpan w:val="4"/>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2755" w:type="dxa"/>
            <w:tcBorders>
              <w:left w:val="single" w:color="00B050" w:sz="8" w:space="0"/>
              <w:bottom w:val="single" w:color="00B050" w:sz="8" w:space="0"/>
              <w:right w:val="dotted" w:color="00B050" w:sz="8" w:space="0"/>
            </w:tcBorders>
            <w:shd w:val="clear" w:color="auto" w:fill="auto"/>
            <w:vAlign w:val="center"/>
          </w:tcPr>
          <w:p>
            <w:pPr>
              <w:pStyle w:val="52"/>
              <w:jc w:val="center"/>
              <w:rPr>
                <w:szCs w:val="20"/>
              </w:rPr>
            </w:pPr>
          </w:p>
        </w:tc>
        <w:tc>
          <w:tcPr>
            <w:tcW w:w="63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N</w:t>
            </w:r>
          </w:p>
        </w:tc>
        <w:tc>
          <w:tcPr>
            <w:tcW w:w="966"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均值</w:t>
            </w:r>
          </w:p>
        </w:tc>
        <w:tc>
          <w:tcPr>
            <w:tcW w:w="993" w:type="dxa"/>
            <w:tcBorders>
              <w:top w:val="nil"/>
              <w:left w:val="dotted" w:color="00B050" w:sz="8" w:space="0"/>
              <w:bottom w:val="single" w:color="00B050" w:sz="8" w:space="0"/>
              <w:right w:val="dotted" w:color="00B050" w:sz="8" w:space="0"/>
            </w:tcBorders>
            <w:vAlign w:val="center"/>
          </w:tcPr>
          <w:p>
            <w:pPr>
              <w:pStyle w:val="52"/>
              <w:jc w:val="center"/>
              <w:rPr>
                <w:szCs w:val="18"/>
              </w:rPr>
            </w:pPr>
            <w:r>
              <w:rPr>
                <w:rFonts w:hint="eastAsia"/>
                <w:szCs w:val="18"/>
              </w:rPr>
              <w:t>标准差</w:t>
            </w:r>
          </w:p>
        </w:tc>
        <w:tc>
          <w:tcPr>
            <w:tcW w:w="909"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中值</w:t>
            </w:r>
          </w:p>
        </w:tc>
        <w:tc>
          <w:tcPr>
            <w:tcW w:w="709"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N</w:t>
            </w:r>
          </w:p>
        </w:tc>
        <w:tc>
          <w:tcPr>
            <w:tcW w:w="851"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均值</w:t>
            </w:r>
          </w:p>
        </w:tc>
        <w:tc>
          <w:tcPr>
            <w:tcW w:w="85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标准差</w:t>
            </w:r>
          </w:p>
        </w:tc>
        <w:tc>
          <w:tcPr>
            <w:tcW w:w="800" w:type="dxa"/>
            <w:tcBorders>
              <w:top w:val="nil"/>
              <w:left w:val="dotted" w:color="00B050" w:sz="8" w:space="0"/>
              <w:bottom w:val="single" w:color="00B050" w:sz="8" w:space="0"/>
              <w:right w:val="single" w:color="00B050" w:sz="8" w:space="0"/>
            </w:tcBorders>
            <w:vAlign w:val="center"/>
          </w:tcPr>
          <w:p>
            <w:pPr>
              <w:pStyle w:val="52"/>
              <w:jc w:val="center"/>
              <w:rPr>
                <w:szCs w:val="18"/>
              </w:rPr>
            </w:pPr>
            <w:r>
              <w:rPr>
                <w:rFonts w:hint="eastAsia"/>
                <w:szCs w:val="18"/>
              </w:rPr>
              <w:t>中值</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20"/>
              </w:rPr>
            </w:pPr>
            <w:r>
              <w:rPr>
                <w:rFonts w:hint="eastAsia"/>
                <w:szCs w:val="18"/>
              </w:rPr>
              <w:t>表演</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32</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17.66</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14.52</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15.00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31</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11.86</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9.48</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10.00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播音与主持</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12.50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7.57</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11.50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10.54</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7.71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10.00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导演</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16.67</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5.77</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10.33</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4.16</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9.00</w:t>
            </w:r>
          </w:p>
        </w:tc>
      </w:tr>
      <w:tr>
        <w:tblPrEx>
          <w:tblLayout w:type="fixed"/>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电视剧创作</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8.50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2.12</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5.67</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2.31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7.00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舞台灯光</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26.00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21.63</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13.33</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14.47</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6.00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舞台服装</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17.00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9.02</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14.00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12.33</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4.62</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15.00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舞台化装</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8.33</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6.35</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6.33</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5.51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6.00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舞台绘景</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6.43</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3.10</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8.43</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4.20</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8.00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舞台设计</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1.60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0.00</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1.60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0.00</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1.20</w:t>
            </w:r>
          </w:p>
        </w:tc>
      </w:tr>
      <w:tr>
        <w:tblPrEx>
          <w:tblLayout w:type="fixed"/>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戏剧创作</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18.50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8.24</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15.00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9</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13.00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8.00</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12.00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戏剧学</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10.75</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4.85</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12</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8.25</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4.16</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7.50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演出制作</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7.78</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5.73</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11</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6.20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2.93</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7.00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影视编导</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8.27</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3.64</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6</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7.50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3.73</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6.00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制片管理</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14</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13.00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11.31</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14</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8.94</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4.33</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7.10</w:t>
            </w:r>
          </w:p>
        </w:tc>
      </w:tr>
    </w:tbl>
    <w:p>
      <w:pPr>
        <w:pStyle w:val="37"/>
        <w:ind w:firstLine="0" w:firstLineChars="0"/>
      </w:pPr>
    </w:p>
    <w:p>
      <w:pPr>
        <w:pStyle w:val="67"/>
      </w:pPr>
      <w:bookmarkStart w:id="140" w:name="_Toc470167399"/>
      <w:r>
        <w:rPr>
          <w:rFonts w:hint="eastAsia"/>
        </w:rPr>
        <w:t>7、福利保障</w:t>
      </w:r>
      <w:bookmarkEnd w:id="140"/>
    </w:p>
    <w:p>
      <w:pPr>
        <w:pStyle w:val="70"/>
      </w:pPr>
      <w:r>
        <w:rPr>
          <w:rFonts w:hint="eastAsia"/>
        </w:rPr>
        <w:t>（1）五险</w:t>
      </w:r>
    </w:p>
    <w:p>
      <w:pPr>
        <w:pStyle w:val="75"/>
      </w:pPr>
      <w:bookmarkStart w:id="141" w:name="PO_33271"/>
      <w:bookmarkEnd w:id="141"/>
      <w:r>
        <w:rPr>
          <w:rFonts w:hint="eastAsia"/>
        </w:rPr>
        <w:t>①总体情况</w:t>
      </w:r>
    </w:p>
    <w:p>
      <w:pPr>
        <w:pStyle w:val="37"/>
        <w:ind w:firstLine="480"/>
      </w:pPr>
      <w:r>
        <w:rPr>
          <w:rFonts w:hint="eastAsia"/>
        </w:rPr>
        <w:t>总体而言，65.9%表示“有五险”，8.7%表示“五险不全”，25.4%表示“没有五险”。</w:t>
      </w:r>
    </w:p>
    <w:p>
      <w:pPr>
        <w:jc w:val="center"/>
      </w:pPr>
      <w:r>
        <w:rPr>
          <w:rFonts w:hint="eastAsia"/>
        </w:rPr>
        <w:drawing>
          <wp:inline distT="0" distB="0" distL="0" distR="0">
            <wp:extent cx="6076950" cy="3077210"/>
            <wp:effectExtent l="19050" t="0" r="19050" b="8890"/>
            <wp:docPr id="40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59"/>
        <w:spacing w:before="156" w:after="312"/>
      </w:pPr>
      <w:r>
        <w:rPr>
          <w:rFonts w:hint="eastAsia"/>
        </w:rPr>
        <w:t>本科生享受五险情况</w:t>
      </w:r>
    </w:p>
    <w:p>
      <w:pPr>
        <w:pStyle w:val="75"/>
      </w:pPr>
      <w:r>
        <w:rPr>
          <w:rFonts w:hint="eastAsia"/>
        </w:rPr>
        <w:t>②不同专业本科生享受五险情况</w:t>
      </w:r>
    </w:p>
    <w:p>
      <w:pPr>
        <w:pStyle w:val="37"/>
        <w:ind w:firstLine="480"/>
      </w:pPr>
      <w:r>
        <w:rPr>
          <w:rFonts w:hint="eastAsia"/>
        </w:rPr>
        <w:t>就专业而言，卡方检验显示，不同专业本科生在目前单位享受五险的情况不存在显著性差异（χ²=35.03，p&gt;0.05）。</w:t>
      </w:r>
    </w:p>
    <w:p>
      <w:pPr>
        <w:jc w:val="center"/>
      </w:pPr>
      <w:r>
        <w:rPr>
          <w:rFonts w:hint="eastAsia"/>
        </w:rPr>
        <w:drawing>
          <wp:inline distT="0" distB="0" distL="0" distR="0">
            <wp:extent cx="5274310" cy="8391525"/>
            <wp:effectExtent l="19050" t="0" r="21590" b="0"/>
            <wp:docPr id="40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59"/>
        <w:spacing w:before="156" w:after="312"/>
      </w:pPr>
      <w:r>
        <w:rPr>
          <w:rFonts w:hint="eastAsia"/>
        </w:rPr>
        <w:t>不同专业本科生享受五险情况</w:t>
      </w:r>
    </w:p>
    <w:p>
      <w:pPr>
        <w:pStyle w:val="53"/>
        <w:spacing w:before="312" w:after="156"/>
      </w:pPr>
      <w:r>
        <w:rPr>
          <w:rFonts w:hint="eastAsia"/>
        </w:rPr>
        <w:t>本科生享受五险情况</w:t>
      </w:r>
    </w:p>
    <w:tbl>
      <w:tblPr>
        <w:tblStyle w:val="33"/>
        <w:tblW w:w="644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84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295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有五险</w:t>
            </w: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五险不全</w:t>
            </w: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没有五险</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表演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31</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54.8</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6.5</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38.7</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x²=35.03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播音与主持</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84.6</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15.4</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导演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电视剧创作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舞台灯光</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舞台服装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舞台化装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舞台绘景</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42.9</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14.3</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42.9</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戏剧学</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演出制作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69.2</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15.4</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15.4</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影视编导</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12.5</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12.5</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制片管理</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92.9</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90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126</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65.9</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8.7</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25.4</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0" w:firstLineChars="0"/>
      </w:pPr>
    </w:p>
    <w:p>
      <w:pPr>
        <w:pStyle w:val="70"/>
      </w:pPr>
      <w:r>
        <w:rPr>
          <w:rFonts w:hint="eastAsia"/>
        </w:rPr>
        <w:t>（2）公积金</w:t>
      </w:r>
    </w:p>
    <w:p>
      <w:pPr>
        <w:pStyle w:val="75"/>
      </w:pPr>
      <w:bookmarkStart w:id="142" w:name="PO_33272"/>
      <w:bookmarkEnd w:id="142"/>
      <w:r>
        <w:rPr>
          <w:rFonts w:hint="eastAsia"/>
        </w:rPr>
        <w:t>①总体情况</w:t>
      </w:r>
    </w:p>
    <w:p>
      <w:pPr>
        <w:pStyle w:val="37"/>
        <w:ind w:firstLine="480"/>
      </w:pPr>
      <w:r>
        <w:rPr>
          <w:rFonts w:hint="eastAsia"/>
        </w:rPr>
        <w:t>总体而言，56.0%表示“有公积金”，44.0%表示“没有公积金”。</w:t>
      </w:r>
    </w:p>
    <w:p>
      <w:pPr>
        <w:jc w:val="center"/>
      </w:pPr>
      <w:r>
        <w:rPr>
          <w:rFonts w:hint="eastAsia"/>
        </w:rPr>
        <w:drawing>
          <wp:inline distT="0" distB="0" distL="0" distR="0">
            <wp:extent cx="6076950" cy="3371850"/>
            <wp:effectExtent l="0" t="0" r="0" b="0"/>
            <wp:docPr id="40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59"/>
        <w:spacing w:before="156" w:after="312"/>
      </w:pPr>
      <w:r>
        <w:rPr>
          <w:rFonts w:hint="eastAsia"/>
        </w:rPr>
        <w:t>本科生享受公积金情况</w:t>
      </w:r>
    </w:p>
    <w:p>
      <w:pPr>
        <w:pStyle w:val="75"/>
      </w:pPr>
      <w:r>
        <w:rPr>
          <w:rFonts w:hint="eastAsia"/>
        </w:rPr>
        <w:t>②不同专业本科生享受公积金情况</w:t>
      </w:r>
    </w:p>
    <w:p>
      <w:pPr>
        <w:pStyle w:val="37"/>
        <w:ind w:firstLine="480"/>
      </w:pPr>
      <w:r>
        <w:rPr>
          <w:rFonts w:hint="eastAsia"/>
        </w:rPr>
        <w:t>就专业而言，卡方检验显示，不同专业本科生在目前单位享受公积金的情况不存在显著性差异（χ²=19.26，p&gt;0.05）。</w:t>
      </w:r>
    </w:p>
    <w:p>
      <w:pPr>
        <w:jc w:val="center"/>
      </w:pPr>
      <w:r>
        <w:rPr>
          <w:rFonts w:hint="eastAsia"/>
        </w:rPr>
        <w:drawing>
          <wp:inline distT="0" distB="0" distL="0" distR="0">
            <wp:extent cx="5274310" cy="8391525"/>
            <wp:effectExtent l="19050" t="0" r="21590" b="0"/>
            <wp:docPr id="40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59"/>
        <w:spacing w:before="156" w:after="312"/>
      </w:pPr>
      <w:r>
        <w:rPr>
          <w:rFonts w:hint="eastAsia"/>
        </w:rPr>
        <w:t>不同专业本科生享受公积金情况</w:t>
      </w:r>
    </w:p>
    <w:p>
      <w:pPr>
        <w:pStyle w:val="53"/>
        <w:spacing w:before="312" w:after="156"/>
      </w:pPr>
      <w:r>
        <w:rPr>
          <w:rFonts w:hint="eastAsia"/>
        </w:rPr>
        <w:t>本科生享受公积金情况</w:t>
      </w:r>
    </w:p>
    <w:tbl>
      <w:tblPr>
        <w:tblStyle w:val="33"/>
        <w:tblW w:w="486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689"/>
        <w:gridCol w:w="689"/>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1378" w:type="dxa"/>
            <w:gridSpan w:val="2"/>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continue"/>
            <w:shd w:val="clear" w:color="auto" w:fill="auto"/>
            <w:vAlign w:val="center"/>
          </w:tcPr>
          <w:p>
            <w:pPr>
              <w:widowControl/>
              <w:jc w:val="center"/>
              <w:rPr>
                <w:rFonts w:ascii="宋体" w:hAnsi="宋体" w:cs="宋体"/>
                <w:color w:val="000000"/>
                <w:kern w:val="0"/>
                <w:szCs w:val="21"/>
              </w:rPr>
            </w:pPr>
          </w:p>
        </w:tc>
        <w:tc>
          <w:tcPr>
            <w:tcW w:w="689"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w:t>
            </w:r>
          </w:p>
        </w:tc>
        <w:tc>
          <w:tcPr>
            <w:tcW w:w="689"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没有</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表演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46.7</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53.3</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x²=19.26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播音与主持</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76.9</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23.1</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导演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电视剧创作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舞台灯光</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舞台服装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舞台化装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舞台绘景</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28.6</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71.4</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戏剧学</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58.3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41.7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演出制作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69.2</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30.8</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影视编导</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62.5</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37.5</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制片管理</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78.6</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21.4</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90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125</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56.0</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44.0</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0" w:firstLineChars="0"/>
      </w:pPr>
    </w:p>
    <w:p>
      <w:pPr>
        <w:pStyle w:val="67"/>
      </w:pPr>
      <w:bookmarkStart w:id="143" w:name="_Toc470167400"/>
      <w:r>
        <w:rPr>
          <w:rFonts w:hint="eastAsia"/>
        </w:rPr>
        <w:t>8、发展前景</w:t>
      </w:r>
      <w:bookmarkEnd w:id="143"/>
    </w:p>
    <w:p>
      <w:pPr>
        <w:pStyle w:val="70"/>
      </w:pPr>
      <w:r>
        <w:rPr>
          <w:rFonts w:hint="eastAsia"/>
        </w:rPr>
        <w:t>（1）发展空间</w:t>
      </w:r>
    </w:p>
    <w:p>
      <w:pPr>
        <w:pStyle w:val="75"/>
      </w:pPr>
      <w:bookmarkStart w:id="144" w:name="PO_33281"/>
      <w:bookmarkEnd w:id="144"/>
      <w:r>
        <w:rPr>
          <w:rFonts w:hint="eastAsia"/>
        </w:rPr>
        <w:t>①总体情况</w:t>
      </w:r>
    </w:p>
    <w:p>
      <w:pPr>
        <w:pStyle w:val="37"/>
        <w:ind w:firstLine="480"/>
      </w:pPr>
      <w:r>
        <w:rPr>
          <w:rFonts w:hint="eastAsia"/>
        </w:rPr>
        <w:t>总体而言，52.8%的本科生表示发展空间“很大”或“大”，43.4%认为“不好说”，3.9%则表示“小”或“很小”。</w:t>
      </w:r>
    </w:p>
    <w:p>
      <w:pPr>
        <w:jc w:val="center"/>
      </w:pPr>
      <w:r>
        <w:rPr>
          <w:rFonts w:hint="eastAsia"/>
        </w:rPr>
        <w:drawing>
          <wp:inline distT="0" distB="0" distL="0" distR="0">
            <wp:extent cx="6000750" cy="2676525"/>
            <wp:effectExtent l="0" t="0" r="0" b="0"/>
            <wp:docPr id="40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59"/>
        <w:spacing w:before="156" w:after="312"/>
      </w:pPr>
      <w:r>
        <w:rPr>
          <w:rFonts w:hint="eastAsia"/>
        </w:rPr>
        <w:t>本科生发展空间情况</w:t>
      </w:r>
    </w:p>
    <w:p>
      <w:pPr>
        <w:pStyle w:val="75"/>
      </w:pPr>
      <w:r>
        <w:rPr>
          <w:rFonts w:hint="eastAsia"/>
        </w:rPr>
        <w:t>②不同专业本科生发展空间</w:t>
      </w:r>
    </w:p>
    <w:p>
      <w:pPr>
        <w:pStyle w:val="37"/>
        <w:ind w:firstLine="480"/>
      </w:pPr>
      <w:r>
        <w:rPr>
          <w:rFonts w:hint="eastAsia"/>
        </w:rPr>
        <w:t>就专业而言，方差检验显示，不同专业的本科生的发展空间不存在显著性差异（F=1.35，p&gt;0.05）。</w:t>
      </w:r>
    </w:p>
    <w:p>
      <w:pPr>
        <w:jc w:val="center"/>
      </w:pPr>
      <w:r>
        <w:rPr>
          <w:rFonts w:hint="eastAsia"/>
        </w:rPr>
        <w:drawing>
          <wp:inline distT="0" distB="0" distL="0" distR="0">
            <wp:extent cx="6124575" cy="3077210"/>
            <wp:effectExtent l="19050" t="0" r="9525" b="8890"/>
            <wp:docPr id="40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59"/>
        <w:spacing w:before="156" w:after="312"/>
      </w:pPr>
      <w:r>
        <w:rPr>
          <w:rFonts w:hint="eastAsia"/>
        </w:rPr>
        <w:t>不同专业本科生发展空间情况</w:t>
      </w:r>
    </w:p>
    <w:p>
      <w:pPr>
        <w:pStyle w:val="53"/>
        <w:spacing w:before="312" w:after="156"/>
      </w:pPr>
      <w:r>
        <w:rPr>
          <w:rFonts w:hint="eastAsia"/>
        </w:rPr>
        <w:t>本科生发展空间情况</w:t>
      </w:r>
    </w:p>
    <w:tbl>
      <w:tblPr>
        <w:tblStyle w:val="33"/>
        <w:tblW w:w="827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636"/>
        <w:gridCol w:w="589"/>
        <w:gridCol w:w="846"/>
        <w:gridCol w:w="589"/>
        <w:gridCol w:w="63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296"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很大</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大</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34</w:t>
            </w:r>
          </w:p>
        </w:tc>
        <w:tc>
          <w:tcPr>
            <w:tcW w:w="636" w:type="dxa"/>
            <w:shd w:val="clear" w:color="auto" w:fill="auto"/>
            <w:vAlign w:val="center"/>
          </w:tcPr>
          <w:p>
            <w:pPr>
              <w:widowControl/>
              <w:jc w:val="center"/>
              <w:rPr>
                <w:color w:val="000000"/>
                <w:kern w:val="0"/>
                <w:szCs w:val="21"/>
              </w:rPr>
            </w:pPr>
            <w:r>
              <w:rPr>
                <w:color w:val="000000"/>
                <w:kern w:val="0"/>
                <w:szCs w:val="21"/>
              </w:rPr>
              <w:t>3.91</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636" w:type="dxa"/>
            <w:vAlign w:val="center"/>
          </w:tcPr>
          <w:p>
            <w:pPr>
              <w:widowControl/>
              <w:jc w:val="center"/>
              <w:rPr>
                <w:color w:val="000000"/>
                <w:kern w:val="0"/>
                <w:szCs w:val="21"/>
              </w:rPr>
            </w:pPr>
            <w:r>
              <w:rPr>
                <w:color w:val="000000"/>
                <w:kern w:val="0"/>
                <w:szCs w:val="21"/>
              </w:rPr>
              <w:t>29.4</w:t>
            </w:r>
          </w:p>
        </w:tc>
        <w:tc>
          <w:tcPr>
            <w:tcW w:w="589" w:type="dxa"/>
            <w:vAlign w:val="center"/>
          </w:tcPr>
          <w:p>
            <w:pPr>
              <w:widowControl/>
              <w:jc w:val="center"/>
              <w:rPr>
                <w:color w:val="000000"/>
                <w:kern w:val="0"/>
                <w:szCs w:val="21"/>
              </w:rPr>
            </w:pPr>
            <w:r>
              <w:rPr>
                <w:color w:val="000000"/>
                <w:kern w:val="0"/>
                <w:szCs w:val="21"/>
              </w:rPr>
              <w:t>32.4</w:t>
            </w:r>
          </w:p>
        </w:tc>
        <w:tc>
          <w:tcPr>
            <w:tcW w:w="846" w:type="dxa"/>
            <w:vAlign w:val="center"/>
          </w:tcPr>
          <w:p>
            <w:pPr>
              <w:widowControl/>
              <w:jc w:val="center"/>
              <w:rPr>
                <w:color w:val="000000"/>
                <w:kern w:val="0"/>
                <w:szCs w:val="21"/>
              </w:rPr>
            </w:pPr>
            <w:r>
              <w:rPr>
                <w:color w:val="000000"/>
                <w:kern w:val="0"/>
                <w:szCs w:val="21"/>
              </w:rPr>
              <w:t>38.2</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F=1.35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3.77</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636" w:type="dxa"/>
            <w:vAlign w:val="center"/>
          </w:tcPr>
          <w:p>
            <w:pPr>
              <w:widowControl/>
              <w:jc w:val="center"/>
              <w:rPr>
                <w:color w:val="000000"/>
                <w:kern w:val="0"/>
                <w:szCs w:val="21"/>
              </w:rPr>
            </w:pPr>
            <w:r>
              <w:rPr>
                <w:color w:val="000000"/>
                <w:kern w:val="0"/>
                <w:szCs w:val="21"/>
              </w:rPr>
              <w:t>23.1</w:t>
            </w:r>
          </w:p>
        </w:tc>
        <w:tc>
          <w:tcPr>
            <w:tcW w:w="589" w:type="dxa"/>
            <w:vAlign w:val="center"/>
          </w:tcPr>
          <w:p>
            <w:pPr>
              <w:widowControl/>
              <w:jc w:val="center"/>
              <w:rPr>
                <w:color w:val="000000"/>
                <w:kern w:val="0"/>
                <w:szCs w:val="21"/>
              </w:rPr>
            </w:pPr>
            <w:r>
              <w:rPr>
                <w:color w:val="000000"/>
                <w:kern w:val="0"/>
                <w:szCs w:val="21"/>
              </w:rPr>
              <w:t>30.8</w:t>
            </w:r>
          </w:p>
        </w:tc>
        <w:tc>
          <w:tcPr>
            <w:tcW w:w="846" w:type="dxa"/>
            <w:vAlign w:val="center"/>
          </w:tcPr>
          <w:p>
            <w:pPr>
              <w:widowControl/>
              <w:jc w:val="center"/>
              <w:rPr>
                <w:color w:val="000000"/>
                <w:kern w:val="0"/>
                <w:szCs w:val="21"/>
              </w:rPr>
            </w:pPr>
            <w:r>
              <w:rPr>
                <w:color w:val="000000"/>
                <w:kern w:val="0"/>
                <w:szCs w:val="21"/>
              </w:rPr>
              <w:t>46.2</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3.75</w:t>
            </w:r>
          </w:p>
        </w:tc>
        <w:tc>
          <w:tcPr>
            <w:tcW w:w="846" w:type="dxa"/>
            <w:shd w:val="clear" w:color="auto" w:fill="auto"/>
            <w:vAlign w:val="center"/>
          </w:tcPr>
          <w:p>
            <w:pPr>
              <w:widowControl/>
              <w:jc w:val="center"/>
              <w:rPr>
                <w:color w:val="000000"/>
                <w:kern w:val="0"/>
                <w:szCs w:val="21"/>
              </w:rPr>
            </w:pPr>
            <w:r>
              <w:rPr>
                <w:color w:val="000000"/>
                <w:kern w:val="0"/>
                <w:szCs w:val="21"/>
              </w:rPr>
              <w:t>0.96</w:t>
            </w:r>
          </w:p>
        </w:tc>
        <w:tc>
          <w:tcPr>
            <w:tcW w:w="636" w:type="dxa"/>
            <w:vAlign w:val="center"/>
          </w:tcPr>
          <w:p>
            <w:pPr>
              <w:widowControl/>
              <w:jc w:val="center"/>
              <w:rPr>
                <w:color w:val="000000"/>
                <w:kern w:val="0"/>
                <w:szCs w:val="21"/>
              </w:rPr>
            </w:pPr>
            <w:r>
              <w:rPr>
                <w:color w:val="000000"/>
                <w:kern w:val="0"/>
                <w:szCs w:val="21"/>
              </w:rPr>
              <w:t>25.0</w:t>
            </w:r>
          </w:p>
        </w:tc>
        <w:tc>
          <w:tcPr>
            <w:tcW w:w="589"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50.0</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2.67</w:t>
            </w:r>
          </w:p>
        </w:tc>
        <w:tc>
          <w:tcPr>
            <w:tcW w:w="846" w:type="dxa"/>
            <w:shd w:val="clear" w:color="auto" w:fill="auto"/>
            <w:vAlign w:val="center"/>
          </w:tcPr>
          <w:p>
            <w:pPr>
              <w:widowControl/>
              <w:jc w:val="center"/>
              <w:rPr>
                <w:color w:val="000000"/>
                <w:kern w:val="0"/>
                <w:szCs w:val="21"/>
              </w:rPr>
            </w:pPr>
            <w:r>
              <w:rPr>
                <w:color w:val="000000"/>
                <w:kern w:val="0"/>
                <w:szCs w:val="21"/>
              </w:rPr>
              <w:t>1.53</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33.3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1.15</w:t>
            </w:r>
          </w:p>
        </w:tc>
        <w:tc>
          <w:tcPr>
            <w:tcW w:w="636" w:type="dxa"/>
            <w:vAlign w:val="center"/>
          </w:tcPr>
          <w:p>
            <w:pPr>
              <w:widowControl/>
              <w:jc w:val="center"/>
              <w:rPr>
                <w:color w:val="000000"/>
                <w:kern w:val="0"/>
                <w:szCs w:val="21"/>
              </w:rPr>
            </w:pPr>
            <w:r>
              <w:rPr>
                <w:color w:val="000000"/>
                <w:kern w:val="0"/>
                <w:szCs w:val="21"/>
              </w:rPr>
              <w:t>50.0</w:t>
            </w:r>
          </w:p>
        </w:tc>
        <w:tc>
          <w:tcPr>
            <w:tcW w:w="589"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50.0</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66.7</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14.3</w:t>
            </w:r>
          </w:p>
        </w:tc>
        <w:tc>
          <w:tcPr>
            <w:tcW w:w="846" w:type="dxa"/>
            <w:vAlign w:val="center"/>
          </w:tcPr>
          <w:p>
            <w:pPr>
              <w:widowControl/>
              <w:jc w:val="center"/>
              <w:rPr>
                <w:color w:val="000000"/>
                <w:kern w:val="0"/>
                <w:szCs w:val="21"/>
              </w:rPr>
            </w:pPr>
            <w:r>
              <w:rPr>
                <w:color w:val="000000"/>
                <w:kern w:val="0"/>
                <w:szCs w:val="21"/>
              </w:rPr>
              <w:t>71.4</w:t>
            </w:r>
          </w:p>
        </w:tc>
        <w:tc>
          <w:tcPr>
            <w:tcW w:w="589" w:type="dxa"/>
            <w:vAlign w:val="center"/>
          </w:tcPr>
          <w:p>
            <w:pPr>
              <w:widowControl/>
              <w:jc w:val="center"/>
              <w:rPr>
                <w:color w:val="000000"/>
                <w:kern w:val="0"/>
                <w:szCs w:val="21"/>
              </w:rPr>
            </w:pPr>
            <w:r>
              <w:rPr>
                <w:color w:val="000000"/>
                <w:kern w:val="0"/>
                <w:szCs w:val="21"/>
              </w:rPr>
              <w:t>14.3</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100.0</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3.60</w:t>
            </w:r>
          </w:p>
        </w:tc>
        <w:tc>
          <w:tcPr>
            <w:tcW w:w="846" w:type="dxa"/>
            <w:shd w:val="clear" w:color="auto" w:fill="auto"/>
            <w:vAlign w:val="center"/>
          </w:tcPr>
          <w:p>
            <w:pPr>
              <w:widowControl/>
              <w:jc w:val="center"/>
              <w:rPr>
                <w:color w:val="000000"/>
                <w:kern w:val="0"/>
                <w:szCs w:val="21"/>
              </w:rPr>
            </w:pPr>
            <w:r>
              <w:rPr>
                <w:color w:val="000000"/>
                <w:kern w:val="0"/>
                <w:szCs w:val="21"/>
              </w:rPr>
              <w:t>0.84</w:t>
            </w:r>
          </w:p>
        </w:tc>
        <w:tc>
          <w:tcPr>
            <w:tcW w:w="63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60.0</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3.42</w:t>
            </w:r>
          </w:p>
        </w:tc>
        <w:tc>
          <w:tcPr>
            <w:tcW w:w="846" w:type="dxa"/>
            <w:shd w:val="clear" w:color="auto" w:fill="auto"/>
            <w:vAlign w:val="center"/>
          </w:tcPr>
          <w:p>
            <w:pPr>
              <w:widowControl/>
              <w:jc w:val="center"/>
              <w:rPr>
                <w:color w:val="000000"/>
                <w:kern w:val="0"/>
                <w:szCs w:val="21"/>
              </w:rPr>
            </w:pPr>
            <w:r>
              <w:rPr>
                <w:color w:val="000000"/>
                <w:kern w:val="0"/>
                <w:szCs w:val="21"/>
              </w:rPr>
              <w:t>1.16</w:t>
            </w:r>
          </w:p>
        </w:tc>
        <w:tc>
          <w:tcPr>
            <w:tcW w:w="636" w:type="dxa"/>
            <w:vAlign w:val="center"/>
          </w:tcPr>
          <w:p>
            <w:pPr>
              <w:widowControl/>
              <w:jc w:val="center"/>
              <w:rPr>
                <w:color w:val="000000"/>
                <w:kern w:val="0"/>
                <w:szCs w:val="21"/>
              </w:rPr>
            </w:pPr>
            <w:r>
              <w:rPr>
                <w:color w:val="000000"/>
                <w:kern w:val="0"/>
                <w:szCs w:val="21"/>
              </w:rPr>
              <w:t>16.7</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589" w:type="dxa"/>
            <w:vAlign w:val="center"/>
          </w:tcPr>
          <w:p>
            <w:pPr>
              <w:widowControl/>
              <w:jc w:val="center"/>
              <w:rPr>
                <w:color w:val="000000"/>
                <w:kern w:val="0"/>
                <w:szCs w:val="21"/>
              </w:rPr>
            </w:pPr>
            <w:r>
              <w:rPr>
                <w:color w:val="000000"/>
                <w:kern w:val="0"/>
                <w:szCs w:val="21"/>
              </w:rPr>
              <w:t>8.3</w:t>
            </w:r>
          </w:p>
        </w:tc>
        <w:tc>
          <w:tcPr>
            <w:tcW w:w="636" w:type="dxa"/>
            <w:vAlign w:val="center"/>
          </w:tcPr>
          <w:p>
            <w:pPr>
              <w:widowControl/>
              <w:jc w:val="center"/>
              <w:rPr>
                <w:color w:val="000000"/>
                <w:kern w:val="0"/>
                <w:szCs w:val="21"/>
              </w:rPr>
            </w:pPr>
            <w:r>
              <w:rPr>
                <w:color w:val="000000"/>
                <w:kern w:val="0"/>
                <w:szCs w:val="21"/>
              </w:rPr>
              <w:t>8.3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3.46</w:t>
            </w:r>
          </w:p>
        </w:tc>
        <w:tc>
          <w:tcPr>
            <w:tcW w:w="846" w:type="dxa"/>
            <w:shd w:val="clear" w:color="auto" w:fill="auto"/>
            <w:vAlign w:val="center"/>
          </w:tcPr>
          <w:p>
            <w:pPr>
              <w:widowControl/>
              <w:jc w:val="center"/>
              <w:rPr>
                <w:color w:val="000000"/>
                <w:kern w:val="0"/>
                <w:szCs w:val="21"/>
              </w:rPr>
            </w:pPr>
            <w:r>
              <w:rPr>
                <w:color w:val="000000"/>
                <w:kern w:val="0"/>
                <w:szCs w:val="21"/>
              </w:rPr>
              <w:t>1.05</w:t>
            </w:r>
          </w:p>
        </w:tc>
        <w:tc>
          <w:tcPr>
            <w:tcW w:w="636" w:type="dxa"/>
            <w:vAlign w:val="center"/>
          </w:tcPr>
          <w:p>
            <w:pPr>
              <w:widowControl/>
              <w:jc w:val="center"/>
              <w:rPr>
                <w:color w:val="000000"/>
                <w:kern w:val="0"/>
                <w:szCs w:val="21"/>
              </w:rPr>
            </w:pPr>
            <w:r>
              <w:rPr>
                <w:color w:val="000000"/>
                <w:kern w:val="0"/>
                <w:szCs w:val="21"/>
              </w:rPr>
              <w:t>15.4</w:t>
            </w:r>
          </w:p>
        </w:tc>
        <w:tc>
          <w:tcPr>
            <w:tcW w:w="589" w:type="dxa"/>
            <w:vAlign w:val="center"/>
          </w:tcPr>
          <w:p>
            <w:pPr>
              <w:widowControl/>
              <w:jc w:val="center"/>
              <w:rPr>
                <w:color w:val="000000"/>
                <w:kern w:val="0"/>
                <w:szCs w:val="21"/>
              </w:rPr>
            </w:pPr>
            <w:r>
              <w:rPr>
                <w:color w:val="000000"/>
                <w:kern w:val="0"/>
                <w:szCs w:val="21"/>
              </w:rPr>
              <w:t>30.8</w:t>
            </w:r>
          </w:p>
        </w:tc>
        <w:tc>
          <w:tcPr>
            <w:tcW w:w="846" w:type="dxa"/>
            <w:vAlign w:val="center"/>
          </w:tcPr>
          <w:p>
            <w:pPr>
              <w:widowControl/>
              <w:jc w:val="center"/>
              <w:rPr>
                <w:color w:val="000000"/>
                <w:kern w:val="0"/>
                <w:szCs w:val="21"/>
              </w:rPr>
            </w:pPr>
            <w:r>
              <w:rPr>
                <w:color w:val="000000"/>
                <w:kern w:val="0"/>
                <w:szCs w:val="21"/>
              </w:rPr>
              <w:t>46.2</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7.7</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636" w:type="dxa"/>
            <w:vAlign w:val="center"/>
          </w:tcPr>
          <w:p>
            <w:pPr>
              <w:widowControl/>
              <w:jc w:val="center"/>
              <w:rPr>
                <w:color w:val="000000"/>
                <w:kern w:val="0"/>
                <w:szCs w:val="21"/>
              </w:rPr>
            </w:pPr>
            <w:r>
              <w:rPr>
                <w:color w:val="000000"/>
                <w:kern w:val="0"/>
                <w:szCs w:val="21"/>
              </w:rPr>
              <w:t>37.5</w:t>
            </w:r>
          </w:p>
        </w:tc>
        <w:tc>
          <w:tcPr>
            <w:tcW w:w="589"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12.5</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3.64</w:t>
            </w:r>
          </w:p>
        </w:tc>
        <w:tc>
          <w:tcPr>
            <w:tcW w:w="846" w:type="dxa"/>
            <w:shd w:val="clear" w:color="auto" w:fill="auto"/>
            <w:vAlign w:val="center"/>
          </w:tcPr>
          <w:p>
            <w:pPr>
              <w:widowControl/>
              <w:jc w:val="center"/>
              <w:rPr>
                <w:color w:val="000000"/>
                <w:kern w:val="0"/>
                <w:szCs w:val="21"/>
              </w:rPr>
            </w:pPr>
            <w:r>
              <w:rPr>
                <w:color w:val="000000"/>
                <w:kern w:val="0"/>
                <w:szCs w:val="21"/>
              </w:rPr>
              <w:t>0.63</w:t>
            </w:r>
          </w:p>
        </w:tc>
        <w:tc>
          <w:tcPr>
            <w:tcW w:w="636" w:type="dxa"/>
            <w:vAlign w:val="center"/>
          </w:tcPr>
          <w:p>
            <w:pPr>
              <w:widowControl/>
              <w:jc w:val="center"/>
              <w:rPr>
                <w:color w:val="000000"/>
                <w:kern w:val="0"/>
                <w:szCs w:val="21"/>
              </w:rPr>
            </w:pPr>
            <w:r>
              <w:rPr>
                <w:color w:val="000000"/>
                <w:kern w:val="0"/>
                <w:szCs w:val="21"/>
              </w:rPr>
              <w:t>7.1</w:t>
            </w:r>
          </w:p>
        </w:tc>
        <w:tc>
          <w:tcPr>
            <w:tcW w:w="589"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42.9</w:t>
            </w:r>
          </w:p>
        </w:tc>
        <w:tc>
          <w:tcPr>
            <w:tcW w:w="589"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129</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0.90</w:t>
            </w:r>
          </w:p>
        </w:tc>
        <w:tc>
          <w:tcPr>
            <w:tcW w:w="636" w:type="dxa"/>
            <w:vAlign w:val="center"/>
          </w:tcPr>
          <w:p>
            <w:pPr>
              <w:widowControl/>
              <w:jc w:val="center"/>
              <w:rPr>
                <w:color w:val="000000"/>
                <w:kern w:val="0"/>
                <w:szCs w:val="21"/>
              </w:rPr>
            </w:pPr>
            <w:r>
              <w:rPr>
                <w:color w:val="000000"/>
                <w:kern w:val="0"/>
                <w:szCs w:val="21"/>
              </w:rPr>
              <w:t>20.2</w:t>
            </w:r>
          </w:p>
        </w:tc>
        <w:tc>
          <w:tcPr>
            <w:tcW w:w="589" w:type="dxa"/>
            <w:vAlign w:val="center"/>
          </w:tcPr>
          <w:p>
            <w:pPr>
              <w:widowControl/>
              <w:jc w:val="center"/>
              <w:rPr>
                <w:color w:val="000000"/>
                <w:kern w:val="0"/>
                <w:szCs w:val="21"/>
              </w:rPr>
            </w:pPr>
            <w:r>
              <w:rPr>
                <w:color w:val="000000"/>
                <w:kern w:val="0"/>
                <w:szCs w:val="21"/>
              </w:rPr>
              <w:t>32.6</w:t>
            </w:r>
          </w:p>
        </w:tc>
        <w:tc>
          <w:tcPr>
            <w:tcW w:w="846" w:type="dxa"/>
            <w:vAlign w:val="center"/>
          </w:tcPr>
          <w:p>
            <w:pPr>
              <w:widowControl/>
              <w:jc w:val="center"/>
              <w:rPr>
                <w:color w:val="000000"/>
                <w:kern w:val="0"/>
                <w:szCs w:val="21"/>
              </w:rPr>
            </w:pPr>
            <w:r>
              <w:rPr>
                <w:color w:val="000000"/>
                <w:kern w:val="0"/>
                <w:szCs w:val="21"/>
              </w:rPr>
              <w:t>43.4</w:t>
            </w:r>
          </w:p>
        </w:tc>
        <w:tc>
          <w:tcPr>
            <w:tcW w:w="589" w:type="dxa"/>
            <w:vAlign w:val="center"/>
          </w:tcPr>
          <w:p>
            <w:pPr>
              <w:widowControl/>
              <w:jc w:val="center"/>
              <w:rPr>
                <w:color w:val="000000"/>
                <w:kern w:val="0"/>
                <w:szCs w:val="21"/>
              </w:rPr>
            </w:pPr>
            <w:r>
              <w:rPr>
                <w:color w:val="000000"/>
                <w:kern w:val="0"/>
                <w:szCs w:val="21"/>
              </w:rPr>
              <w:t>1.6</w:t>
            </w:r>
          </w:p>
        </w:tc>
        <w:tc>
          <w:tcPr>
            <w:tcW w:w="636" w:type="dxa"/>
            <w:vAlign w:val="center"/>
          </w:tcPr>
          <w:p>
            <w:pPr>
              <w:widowControl/>
              <w:jc w:val="center"/>
              <w:rPr>
                <w:color w:val="000000"/>
                <w:kern w:val="0"/>
                <w:szCs w:val="21"/>
              </w:rPr>
            </w:pPr>
            <w:r>
              <w:rPr>
                <w:color w:val="000000"/>
                <w:kern w:val="0"/>
                <w:szCs w:val="21"/>
              </w:rPr>
              <w:t>2.3</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注：得分5=很大，4=大，3=不好说，2=小，1=很小</w:t>
      </w:r>
    </w:p>
    <w:p>
      <w:pPr>
        <w:pStyle w:val="37"/>
        <w:ind w:firstLine="0" w:firstLineChars="0"/>
      </w:pPr>
    </w:p>
    <w:p>
      <w:pPr>
        <w:pStyle w:val="70"/>
      </w:pPr>
      <w:r>
        <w:rPr>
          <w:rFonts w:hint="eastAsia"/>
        </w:rPr>
        <w:t>（2）发展路径</w:t>
      </w:r>
    </w:p>
    <w:p>
      <w:pPr>
        <w:pStyle w:val="75"/>
      </w:pPr>
      <w:bookmarkStart w:id="145" w:name="PO_33282"/>
      <w:bookmarkEnd w:id="145"/>
      <w:r>
        <w:rPr>
          <w:rFonts w:hint="eastAsia"/>
        </w:rPr>
        <w:t>①总体情况</w:t>
      </w:r>
    </w:p>
    <w:p>
      <w:pPr>
        <w:pStyle w:val="37"/>
        <w:ind w:firstLine="480"/>
      </w:pPr>
      <w:r>
        <w:rPr>
          <w:rFonts w:hint="eastAsia"/>
        </w:rPr>
        <w:t>总体而言，62.8%的本科生表示发展路径“很清晰”或“清晰”，31.8%认为“不好说”，5.5%则表示“不清晰”或“很不清晰”。</w:t>
      </w:r>
    </w:p>
    <w:p>
      <w:pPr>
        <w:jc w:val="center"/>
      </w:pPr>
      <w:r>
        <w:rPr>
          <w:rFonts w:hint="eastAsia"/>
        </w:rPr>
        <w:drawing>
          <wp:inline distT="0" distB="0" distL="0" distR="0">
            <wp:extent cx="6076950" cy="3077210"/>
            <wp:effectExtent l="19050" t="0" r="19050" b="8890"/>
            <wp:docPr id="4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59"/>
        <w:spacing w:before="156" w:after="312"/>
      </w:pPr>
      <w:r>
        <w:rPr>
          <w:rFonts w:hint="eastAsia"/>
        </w:rPr>
        <w:t>本科生发展路径情况</w:t>
      </w:r>
    </w:p>
    <w:p>
      <w:pPr>
        <w:pStyle w:val="75"/>
      </w:pPr>
      <w:r>
        <w:rPr>
          <w:rFonts w:hint="eastAsia"/>
        </w:rPr>
        <w:t>②不同专业本科生发展路径</w:t>
      </w:r>
    </w:p>
    <w:p>
      <w:pPr>
        <w:pStyle w:val="37"/>
        <w:ind w:firstLine="480"/>
      </w:pPr>
      <w:r>
        <w:rPr>
          <w:rFonts w:hint="eastAsia"/>
        </w:rPr>
        <w:t>就专业而言，方差检验显示，不同专业的本科生的发展路径存在差异（F=2.01，p&lt;0.05）。其中，影视编导专业本科生认为落实工作发展路径清晰的比例最高。</w:t>
      </w:r>
    </w:p>
    <w:p>
      <w:pPr>
        <w:jc w:val="center"/>
      </w:pPr>
      <w:r>
        <w:rPr>
          <w:rFonts w:hint="eastAsia"/>
        </w:rPr>
        <w:drawing>
          <wp:inline distT="0" distB="0" distL="0" distR="0">
            <wp:extent cx="6124575" cy="2847975"/>
            <wp:effectExtent l="0" t="0" r="0" b="0"/>
            <wp:docPr id="40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59"/>
        <w:spacing w:before="156" w:after="312"/>
      </w:pPr>
      <w:r>
        <w:rPr>
          <w:rFonts w:hint="eastAsia"/>
        </w:rPr>
        <w:t>不同专业本科生发展路径情况</w:t>
      </w:r>
    </w:p>
    <w:p>
      <w:pPr>
        <w:pStyle w:val="53"/>
        <w:spacing w:before="312" w:after="156"/>
      </w:pPr>
      <w:r>
        <w:rPr>
          <w:rFonts w:hint="eastAsia"/>
        </w:rPr>
        <w:t>本科生发展路径情况</w:t>
      </w:r>
    </w:p>
    <w:tbl>
      <w:tblPr>
        <w:tblStyle w:val="33"/>
        <w:tblW w:w="926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846"/>
        <w:gridCol w:w="695"/>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89"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很清晰</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清晰</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不清晰</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很不清晰</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34</w:t>
            </w:r>
          </w:p>
        </w:tc>
        <w:tc>
          <w:tcPr>
            <w:tcW w:w="636" w:type="dxa"/>
            <w:shd w:val="clear" w:color="auto" w:fill="auto"/>
            <w:vAlign w:val="center"/>
          </w:tcPr>
          <w:p>
            <w:pPr>
              <w:widowControl/>
              <w:jc w:val="center"/>
              <w:rPr>
                <w:color w:val="000000"/>
                <w:kern w:val="0"/>
                <w:szCs w:val="21"/>
              </w:rPr>
            </w:pPr>
            <w:r>
              <w:rPr>
                <w:color w:val="000000"/>
                <w:kern w:val="0"/>
                <w:szCs w:val="21"/>
              </w:rPr>
              <w:t>4.12</w:t>
            </w:r>
          </w:p>
        </w:tc>
        <w:tc>
          <w:tcPr>
            <w:tcW w:w="846" w:type="dxa"/>
            <w:shd w:val="clear" w:color="auto" w:fill="auto"/>
            <w:vAlign w:val="center"/>
          </w:tcPr>
          <w:p>
            <w:pPr>
              <w:widowControl/>
              <w:jc w:val="center"/>
              <w:rPr>
                <w:color w:val="000000"/>
                <w:kern w:val="0"/>
                <w:szCs w:val="21"/>
              </w:rPr>
            </w:pPr>
            <w:r>
              <w:rPr>
                <w:color w:val="000000"/>
                <w:kern w:val="0"/>
                <w:szCs w:val="21"/>
              </w:rPr>
              <w:t>0.81</w:t>
            </w:r>
          </w:p>
        </w:tc>
        <w:tc>
          <w:tcPr>
            <w:tcW w:w="846" w:type="dxa"/>
            <w:vAlign w:val="center"/>
          </w:tcPr>
          <w:p>
            <w:pPr>
              <w:widowControl/>
              <w:jc w:val="center"/>
              <w:rPr>
                <w:color w:val="000000"/>
                <w:kern w:val="0"/>
                <w:szCs w:val="21"/>
              </w:rPr>
            </w:pPr>
            <w:r>
              <w:rPr>
                <w:color w:val="000000"/>
                <w:kern w:val="0"/>
                <w:szCs w:val="21"/>
              </w:rPr>
              <w:t>38.2</w:t>
            </w:r>
          </w:p>
        </w:tc>
        <w:tc>
          <w:tcPr>
            <w:tcW w:w="695" w:type="dxa"/>
            <w:vAlign w:val="center"/>
          </w:tcPr>
          <w:p>
            <w:pPr>
              <w:widowControl/>
              <w:jc w:val="center"/>
              <w:rPr>
                <w:color w:val="000000"/>
                <w:kern w:val="0"/>
                <w:szCs w:val="21"/>
              </w:rPr>
            </w:pPr>
            <w:r>
              <w:rPr>
                <w:color w:val="000000"/>
                <w:kern w:val="0"/>
                <w:szCs w:val="21"/>
              </w:rPr>
              <w:t>35.3</w:t>
            </w:r>
          </w:p>
        </w:tc>
        <w:tc>
          <w:tcPr>
            <w:tcW w:w="846" w:type="dxa"/>
            <w:vAlign w:val="center"/>
          </w:tcPr>
          <w:p>
            <w:pPr>
              <w:widowControl/>
              <w:jc w:val="center"/>
              <w:rPr>
                <w:color w:val="000000"/>
                <w:kern w:val="0"/>
                <w:szCs w:val="21"/>
              </w:rPr>
            </w:pPr>
            <w:r>
              <w:rPr>
                <w:color w:val="000000"/>
                <w:kern w:val="0"/>
                <w:szCs w:val="21"/>
              </w:rPr>
              <w:t>26.5</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F=2.01*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4.08</w:t>
            </w:r>
          </w:p>
        </w:tc>
        <w:tc>
          <w:tcPr>
            <w:tcW w:w="846" w:type="dxa"/>
            <w:shd w:val="clear" w:color="auto" w:fill="auto"/>
            <w:vAlign w:val="center"/>
          </w:tcPr>
          <w:p>
            <w:pPr>
              <w:widowControl/>
              <w:jc w:val="center"/>
              <w:rPr>
                <w:color w:val="000000"/>
                <w:kern w:val="0"/>
                <w:szCs w:val="21"/>
              </w:rPr>
            </w:pPr>
            <w:r>
              <w:rPr>
                <w:color w:val="000000"/>
                <w:kern w:val="0"/>
                <w:szCs w:val="21"/>
              </w:rPr>
              <w:t>0.76</w:t>
            </w:r>
          </w:p>
        </w:tc>
        <w:tc>
          <w:tcPr>
            <w:tcW w:w="846" w:type="dxa"/>
            <w:vAlign w:val="center"/>
          </w:tcPr>
          <w:p>
            <w:pPr>
              <w:widowControl/>
              <w:jc w:val="center"/>
              <w:rPr>
                <w:color w:val="000000"/>
                <w:kern w:val="0"/>
                <w:szCs w:val="21"/>
              </w:rPr>
            </w:pPr>
            <w:r>
              <w:rPr>
                <w:color w:val="000000"/>
                <w:kern w:val="0"/>
                <w:szCs w:val="21"/>
              </w:rPr>
              <w:t>30.8</w:t>
            </w:r>
          </w:p>
        </w:tc>
        <w:tc>
          <w:tcPr>
            <w:tcW w:w="695" w:type="dxa"/>
            <w:vAlign w:val="center"/>
          </w:tcPr>
          <w:p>
            <w:pPr>
              <w:widowControl/>
              <w:jc w:val="center"/>
              <w:rPr>
                <w:color w:val="000000"/>
                <w:kern w:val="0"/>
                <w:szCs w:val="21"/>
              </w:rPr>
            </w:pPr>
            <w:r>
              <w:rPr>
                <w:color w:val="000000"/>
                <w:kern w:val="0"/>
                <w:szCs w:val="21"/>
              </w:rPr>
              <w:t>46.2</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2.67</w:t>
            </w:r>
          </w:p>
        </w:tc>
        <w:tc>
          <w:tcPr>
            <w:tcW w:w="846" w:type="dxa"/>
            <w:shd w:val="clear" w:color="auto" w:fill="auto"/>
            <w:vAlign w:val="center"/>
          </w:tcPr>
          <w:p>
            <w:pPr>
              <w:widowControl/>
              <w:jc w:val="center"/>
              <w:rPr>
                <w:color w:val="000000"/>
                <w:kern w:val="0"/>
                <w:szCs w:val="21"/>
              </w:rPr>
            </w:pPr>
            <w:r>
              <w:rPr>
                <w:color w:val="000000"/>
                <w:kern w:val="0"/>
                <w:szCs w:val="21"/>
              </w:rPr>
              <w:t>1.53</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33.3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3.50</w:t>
            </w:r>
          </w:p>
        </w:tc>
        <w:tc>
          <w:tcPr>
            <w:tcW w:w="846" w:type="dxa"/>
            <w:shd w:val="clear" w:color="auto" w:fill="auto"/>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3.14</w:t>
            </w:r>
          </w:p>
        </w:tc>
        <w:tc>
          <w:tcPr>
            <w:tcW w:w="846" w:type="dxa"/>
            <w:shd w:val="clear" w:color="auto" w:fill="auto"/>
            <w:vAlign w:val="center"/>
          </w:tcPr>
          <w:p>
            <w:pPr>
              <w:widowControl/>
              <w:jc w:val="center"/>
              <w:rPr>
                <w:color w:val="000000"/>
                <w:kern w:val="0"/>
                <w:szCs w:val="21"/>
              </w:rPr>
            </w:pPr>
            <w:r>
              <w:rPr>
                <w:color w:val="000000"/>
                <w:kern w:val="0"/>
                <w:szCs w:val="21"/>
              </w:rPr>
              <w:t>0.69</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57.1</w:t>
            </w:r>
          </w:p>
        </w:tc>
        <w:tc>
          <w:tcPr>
            <w:tcW w:w="846" w:type="dxa"/>
            <w:vAlign w:val="center"/>
          </w:tcPr>
          <w:p>
            <w:pPr>
              <w:widowControl/>
              <w:jc w:val="center"/>
              <w:rPr>
                <w:color w:val="000000"/>
                <w:kern w:val="0"/>
                <w:szCs w:val="21"/>
              </w:rPr>
            </w:pPr>
            <w:r>
              <w:rPr>
                <w:color w:val="000000"/>
                <w:kern w:val="0"/>
                <w:szCs w:val="21"/>
              </w:rPr>
              <w:t>14.3</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1.14</w:t>
            </w:r>
          </w:p>
        </w:tc>
        <w:tc>
          <w:tcPr>
            <w:tcW w:w="846" w:type="dxa"/>
            <w:vAlign w:val="center"/>
          </w:tcPr>
          <w:p>
            <w:pPr>
              <w:widowControl/>
              <w:jc w:val="center"/>
              <w:rPr>
                <w:color w:val="000000"/>
                <w:kern w:val="0"/>
                <w:szCs w:val="21"/>
              </w:rPr>
            </w:pPr>
            <w:r>
              <w:rPr>
                <w:color w:val="000000"/>
                <w:kern w:val="0"/>
                <w:szCs w:val="21"/>
              </w:rPr>
              <w:t>30.0</w:t>
            </w:r>
          </w:p>
        </w:tc>
        <w:tc>
          <w:tcPr>
            <w:tcW w:w="695"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20.0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0.98</w:t>
            </w:r>
          </w:p>
        </w:tc>
        <w:tc>
          <w:tcPr>
            <w:tcW w:w="846" w:type="dxa"/>
            <w:vAlign w:val="center"/>
          </w:tcPr>
          <w:p>
            <w:pPr>
              <w:widowControl/>
              <w:jc w:val="center"/>
              <w:rPr>
                <w:color w:val="000000"/>
                <w:kern w:val="0"/>
                <w:szCs w:val="21"/>
              </w:rPr>
            </w:pPr>
            <w:r>
              <w:rPr>
                <w:color w:val="000000"/>
                <w:kern w:val="0"/>
                <w:szCs w:val="21"/>
              </w:rPr>
              <w:t>8.3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8.3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3.38</w:t>
            </w:r>
          </w:p>
        </w:tc>
        <w:tc>
          <w:tcPr>
            <w:tcW w:w="846" w:type="dxa"/>
            <w:shd w:val="clear" w:color="auto" w:fill="auto"/>
            <w:vAlign w:val="center"/>
          </w:tcPr>
          <w:p>
            <w:pPr>
              <w:widowControl/>
              <w:jc w:val="center"/>
              <w:rPr>
                <w:color w:val="000000"/>
                <w:kern w:val="0"/>
                <w:szCs w:val="21"/>
              </w:rPr>
            </w:pPr>
            <w:r>
              <w:rPr>
                <w:color w:val="000000"/>
                <w:kern w:val="0"/>
                <w:szCs w:val="21"/>
              </w:rPr>
              <w:t>0.96</w:t>
            </w:r>
          </w:p>
        </w:tc>
        <w:tc>
          <w:tcPr>
            <w:tcW w:w="846" w:type="dxa"/>
            <w:vAlign w:val="center"/>
          </w:tcPr>
          <w:p>
            <w:pPr>
              <w:widowControl/>
              <w:jc w:val="center"/>
              <w:rPr>
                <w:color w:val="000000"/>
                <w:kern w:val="0"/>
                <w:szCs w:val="21"/>
              </w:rPr>
            </w:pPr>
            <w:r>
              <w:rPr>
                <w:color w:val="000000"/>
                <w:kern w:val="0"/>
                <w:szCs w:val="21"/>
              </w:rPr>
              <w:t>15.4</w:t>
            </w:r>
          </w:p>
        </w:tc>
        <w:tc>
          <w:tcPr>
            <w:tcW w:w="695"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46.2</w:t>
            </w:r>
          </w:p>
        </w:tc>
        <w:tc>
          <w:tcPr>
            <w:tcW w:w="846" w:type="dxa"/>
            <w:vAlign w:val="center"/>
          </w:tcPr>
          <w:p>
            <w:pPr>
              <w:widowControl/>
              <w:jc w:val="center"/>
              <w:rPr>
                <w:color w:val="000000"/>
                <w:kern w:val="0"/>
                <w:szCs w:val="21"/>
              </w:rPr>
            </w:pPr>
            <w:r>
              <w:rPr>
                <w:color w:val="000000"/>
                <w:kern w:val="0"/>
                <w:szCs w:val="21"/>
              </w:rPr>
              <w:t>15.4</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0.46</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3.86</w:t>
            </w:r>
          </w:p>
        </w:tc>
        <w:tc>
          <w:tcPr>
            <w:tcW w:w="846" w:type="dxa"/>
            <w:shd w:val="clear" w:color="auto" w:fill="auto"/>
            <w:vAlign w:val="center"/>
          </w:tcPr>
          <w:p>
            <w:pPr>
              <w:widowControl/>
              <w:jc w:val="center"/>
              <w:rPr>
                <w:color w:val="000000"/>
                <w:kern w:val="0"/>
                <w:szCs w:val="21"/>
              </w:rPr>
            </w:pPr>
            <w:r>
              <w:rPr>
                <w:color w:val="000000"/>
                <w:kern w:val="0"/>
                <w:szCs w:val="21"/>
              </w:rPr>
              <w:t>0.66</w:t>
            </w:r>
          </w:p>
        </w:tc>
        <w:tc>
          <w:tcPr>
            <w:tcW w:w="846" w:type="dxa"/>
            <w:vAlign w:val="center"/>
          </w:tcPr>
          <w:p>
            <w:pPr>
              <w:widowControl/>
              <w:jc w:val="center"/>
              <w:rPr>
                <w:color w:val="000000"/>
                <w:kern w:val="0"/>
                <w:szCs w:val="21"/>
              </w:rPr>
            </w:pPr>
            <w:r>
              <w:rPr>
                <w:color w:val="000000"/>
                <w:kern w:val="0"/>
                <w:szCs w:val="21"/>
              </w:rPr>
              <w:t>14.3</w:t>
            </w:r>
          </w:p>
        </w:tc>
        <w:tc>
          <w:tcPr>
            <w:tcW w:w="695" w:type="dxa"/>
            <w:vAlign w:val="center"/>
          </w:tcPr>
          <w:p>
            <w:pPr>
              <w:widowControl/>
              <w:jc w:val="center"/>
              <w:rPr>
                <w:color w:val="000000"/>
                <w:kern w:val="0"/>
                <w:szCs w:val="21"/>
              </w:rPr>
            </w:pPr>
            <w:r>
              <w:rPr>
                <w:color w:val="000000"/>
                <w:kern w:val="0"/>
                <w:szCs w:val="21"/>
              </w:rPr>
              <w:t>57.1</w:t>
            </w:r>
          </w:p>
        </w:tc>
        <w:tc>
          <w:tcPr>
            <w:tcW w:w="846"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129</w:t>
            </w:r>
          </w:p>
        </w:tc>
        <w:tc>
          <w:tcPr>
            <w:tcW w:w="636" w:type="dxa"/>
            <w:shd w:val="clear" w:color="auto" w:fill="auto"/>
            <w:vAlign w:val="center"/>
          </w:tcPr>
          <w:p>
            <w:pPr>
              <w:widowControl/>
              <w:jc w:val="center"/>
              <w:rPr>
                <w:color w:val="000000"/>
                <w:kern w:val="0"/>
                <w:szCs w:val="21"/>
              </w:rPr>
            </w:pPr>
            <w:r>
              <w:rPr>
                <w:color w:val="000000"/>
                <w:kern w:val="0"/>
                <w:szCs w:val="21"/>
              </w:rPr>
              <w:t>3.79</w:t>
            </w:r>
          </w:p>
        </w:tc>
        <w:tc>
          <w:tcPr>
            <w:tcW w:w="846" w:type="dxa"/>
            <w:shd w:val="clear" w:color="auto" w:fill="auto"/>
            <w:vAlign w:val="center"/>
          </w:tcPr>
          <w:p>
            <w:pPr>
              <w:widowControl/>
              <w:jc w:val="center"/>
              <w:rPr>
                <w:color w:val="000000"/>
                <w:kern w:val="0"/>
                <w:szCs w:val="21"/>
              </w:rPr>
            </w:pPr>
            <w:r>
              <w:rPr>
                <w:color w:val="000000"/>
                <w:kern w:val="0"/>
                <w:szCs w:val="21"/>
              </w:rPr>
              <w:t>0.90</w:t>
            </w:r>
          </w:p>
        </w:tc>
        <w:tc>
          <w:tcPr>
            <w:tcW w:w="846" w:type="dxa"/>
            <w:vAlign w:val="center"/>
          </w:tcPr>
          <w:p>
            <w:pPr>
              <w:widowControl/>
              <w:jc w:val="center"/>
              <w:rPr>
                <w:color w:val="000000"/>
                <w:kern w:val="0"/>
                <w:szCs w:val="21"/>
              </w:rPr>
            </w:pPr>
            <w:r>
              <w:rPr>
                <w:color w:val="000000"/>
                <w:kern w:val="0"/>
                <w:szCs w:val="21"/>
              </w:rPr>
              <w:t>23.3</w:t>
            </w:r>
          </w:p>
        </w:tc>
        <w:tc>
          <w:tcPr>
            <w:tcW w:w="695" w:type="dxa"/>
            <w:vAlign w:val="center"/>
          </w:tcPr>
          <w:p>
            <w:pPr>
              <w:widowControl/>
              <w:jc w:val="center"/>
              <w:rPr>
                <w:color w:val="000000"/>
                <w:kern w:val="0"/>
                <w:szCs w:val="21"/>
              </w:rPr>
            </w:pPr>
            <w:r>
              <w:rPr>
                <w:color w:val="000000"/>
                <w:kern w:val="0"/>
                <w:szCs w:val="21"/>
              </w:rPr>
              <w:t>39.5</w:t>
            </w:r>
          </w:p>
        </w:tc>
        <w:tc>
          <w:tcPr>
            <w:tcW w:w="846" w:type="dxa"/>
            <w:vAlign w:val="center"/>
          </w:tcPr>
          <w:p>
            <w:pPr>
              <w:widowControl/>
              <w:jc w:val="center"/>
              <w:rPr>
                <w:color w:val="000000"/>
                <w:kern w:val="0"/>
                <w:szCs w:val="21"/>
              </w:rPr>
            </w:pPr>
            <w:r>
              <w:rPr>
                <w:color w:val="000000"/>
                <w:kern w:val="0"/>
                <w:szCs w:val="21"/>
              </w:rPr>
              <w:t>31.8</w:t>
            </w:r>
          </w:p>
        </w:tc>
        <w:tc>
          <w:tcPr>
            <w:tcW w:w="846" w:type="dxa"/>
            <w:vAlign w:val="center"/>
          </w:tcPr>
          <w:p>
            <w:pPr>
              <w:widowControl/>
              <w:jc w:val="center"/>
              <w:rPr>
                <w:color w:val="000000"/>
                <w:kern w:val="0"/>
                <w:szCs w:val="21"/>
              </w:rPr>
            </w:pPr>
            <w:r>
              <w:rPr>
                <w:color w:val="000000"/>
                <w:kern w:val="0"/>
                <w:szCs w:val="21"/>
              </w:rPr>
              <w:t>3.9</w:t>
            </w:r>
          </w:p>
        </w:tc>
        <w:tc>
          <w:tcPr>
            <w:tcW w:w="1056" w:type="dxa"/>
            <w:vAlign w:val="center"/>
          </w:tcPr>
          <w:p>
            <w:pPr>
              <w:widowControl/>
              <w:jc w:val="center"/>
              <w:rPr>
                <w:color w:val="000000"/>
                <w:kern w:val="0"/>
                <w:szCs w:val="21"/>
              </w:rPr>
            </w:pPr>
            <w:r>
              <w:rPr>
                <w:color w:val="000000"/>
                <w:kern w:val="0"/>
                <w:szCs w:val="21"/>
              </w:rPr>
              <w:t>1.6</w:t>
            </w:r>
          </w:p>
        </w:tc>
        <w:tc>
          <w:tcPr>
            <w:tcW w:w="1056" w:type="dxa"/>
            <w:shd w:val="clear" w:color="auto" w:fill="auto"/>
            <w:vAlign w:val="center"/>
          </w:tcPr>
          <w:p>
            <w:pPr>
              <w:widowControl/>
              <w:jc w:val="center"/>
              <w:rPr>
                <w:color w:val="000000"/>
                <w:kern w:val="0"/>
                <w:szCs w:val="21"/>
              </w:rPr>
            </w:pPr>
          </w:p>
        </w:tc>
      </w:tr>
    </w:tbl>
    <w:p>
      <w:pPr>
        <w:pStyle w:val="37"/>
        <w:ind w:firstLine="0" w:firstLineChars="0"/>
      </w:pPr>
      <w:r>
        <w:rPr>
          <w:rFonts w:hint="eastAsia"/>
          <w:sz w:val="20"/>
          <w:szCs w:val="20"/>
        </w:rPr>
        <w:t>注：得分5=很清晰，4=清晰，3=不好说，2=不清晰，1=很不清晰</w:t>
      </w:r>
    </w:p>
    <w:p>
      <w:pPr>
        <w:pStyle w:val="67"/>
      </w:pPr>
      <w:bookmarkStart w:id="146" w:name="_Toc470167401"/>
      <w:r>
        <w:rPr>
          <w:rFonts w:hint="eastAsia"/>
        </w:rPr>
        <w:t>9、稳定性</w:t>
      </w:r>
      <w:bookmarkEnd w:id="146"/>
    </w:p>
    <w:p>
      <w:pPr>
        <w:pStyle w:val="70"/>
      </w:pPr>
      <w:bookmarkStart w:id="147" w:name="PO_3329"/>
      <w:bookmarkEnd w:id="147"/>
      <w:r>
        <w:rPr>
          <w:rFonts w:hint="eastAsia"/>
        </w:rPr>
        <w:t>（1）总体情况</w:t>
      </w:r>
    </w:p>
    <w:p>
      <w:pPr>
        <w:pStyle w:val="37"/>
        <w:ind w:firstLine="480"/>
      </w:pPr>
      <w:r>
        <w:rPr>
          <w:rFonts w:hint="eastAsia"/>
        </w:rPr>
        <w:t>总体而言，对于在目前单位的预期工作时长，32.6%的本科生表示在目前单位的预期工作时间是在1年以内，48.1%的本科生表示在1到3年之间，7.0%的本科生表示在3-5年之间，12.4%的本科生表示会工作5年及以上。</w:t>
      </w:r>
    </w:p>
    <w:p>
      <w:pPr>
        <w:jc w:val="center"/>
      </w:pPr>
      <w:r>
        <w:rPr>
          <w:rFonts w:hint="eastAsia"/>
        </w:rPr>
        <w:drawing>
          <wp:inline distT="0" distB="0" distL="0" distR="0">
            <wp:extent cx="6076950" cy="2752725"/>
            <wp:effectExtent l="0" t="0" r="0" b="0"/>
            <wp:docPr id="40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59"/>
        <w:spacing w:before="156" w:after="312"/>
      </w:pPr>
      <w:r>
        <w:rPr>
          <w:rFonts w:hint="eastAsia"/>
        </w:rPr>
        <w:t>本科生预期在目前单位工作时间</w:t>
      </w:r>
    </w:p>
    <w:p>
      <w:pPr>
        <w:pStyle w:val="70"/>
      </w:pPr>
      <w:r>
        <w:rPr>
          <w:rFonts w:hint="eastAsia"/>
        </w:rPr>
        <w:t>（2）不同专业本科生就业稳定性</w:t>
      </w:r>
    </w:p>
    <w:p>
      <w:pPr>
        <w:pStyle w:val="37"/>
        <w:ind w:firstLine="480"/>
      </w:pPr>
      <w:r>
        <w:rPr>
          <w:rFonts w:hint="eastAsia"/>
        </w:rPr>
        <w:t>就专业而言，卡方检验显示，不同专业本科生预期在目前单位工作时长不存在显著性差异（χ²=47.48，p&gt;0.05）。</w:t>
      </w:r>
    </w:p>
    <w:p>
      <w:pPr>
        <w:jc w:val="center"/>
      </w:pPr>
      <w:r>
        <w:rPr>
          <w:rFonts w:hint="eastAsia"/>
        </w:rPr>
        <w:drawing>
          <wp:inline distT="0" distB="0" distL="0" distR="0">
            <wp:extent cx="5274310" cy="8391525"/>
            <wp:effectExtent l="19050" t="0" r="21590" b="0"/>
            <wp:docPr id="41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59"/>
        <w:spacing w:before="156" w:after="312"/>
      </w:pPr>
      <w:r>
        <w:rPr>
          <w:rFonts w:hint="eastAsia"/>
        </w:rPr>
        <w:t>不同专业本科生预期在目前单位工作时间</w:t>
      </w:r>
    </w:p>
    <w:p>
      <w:pPr>
        <w:pStyle w:val="53"/>
        <w:spacing w:before="312" w:after="156"/>
      </w:pPr>
      <w:r>
        <w:rPr>
          <w:rFonts w:hint="eastAsia"/>
        </w:rPr>
        <w:t>本科生预期在目前单位工作时间</w:t>
      </w:r>
    </w:p>
    <w:tbl>
      <w:tblPr>
        <w:tblStyle w:val="33"/>
        <w:tblW w:w="750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1004"/>
        <w:gridCol w:w="899"/>
        <w:gridCol w:w="899"/>
        <w:gridCol w:w="1214"/>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4016"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continue"/>
            <w:shd w:val="clear" w:color="auto" w:fill="auto"/>
            <w:vAlign w:val="center"/>
          </w:tcPr>
          <w:p>
            <w:pPr>
              <w:widowControl/>
              <w:jc w:val="center"/>
              <w:rPr>
                <w:rFonts w:ascii="宋体" w:hAnsi="宋体" w:cs="宋体"/>
                <w:color w:val="000000"/>
                <w:kern w:val="0"/>
                <w:szCs w:val="21"/>
              </w:rPr>
            </w:pP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1年以内</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1～3年</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3～5年</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5年及以上</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表演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34</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26.5</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23.5</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14.7</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35.3</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x²=47.48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播音与主持</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30.8</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53.8</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7.7</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导演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电视剧创作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舞台灯光</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舞台服装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舞台化装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舞台绘景</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57.1</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28.6</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14.3</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戏剧学</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演出制作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38.5</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53.8</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7.7</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影视编导</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37.5</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62.5</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制片管理</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28.6</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64.3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90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129</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32.6</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48.1</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12.4</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0" w:firstLineChars="0"/>
      </w:pPr>
    </w:p>
    <w:p>
      <w:pPr>
        <w:pStyle w:val="67"/>
      </w:pPr>
      <w:bookmarkStart w:id="148" w:name="_Toc470167402"/>
      <w:r>
        <w:rPr>
          <w:rFonts w:hint="eastAsia"/>
        </w:rPr>
        <w:t>10、人职匹配情况</w:t>
      </w:r>
      <w:bookmarkEnd w:id="148"/>
    </w:p>
    <w:p>
      <w:pPr>
        <w:pStyle w:val="70"/>
      </w:pPr>
      <w:r>
        <w:rPr>
          <w:rFonts w:hint="eastAsia"/>
        </w:rPr>
        <w:t>（1）所学专业与工作的相关程度</w:t>
      </w:r>
    </w:p>
    <w:p>
      <w:pPr>
        <w:pStyle w:val="75"/>
      </w:pPr>
      <w:bookmarkStart w:id="149" w:name="PO_332101"/>
      <w:bookmarkEnd w:id="149"/>
      <w:r>
        <w:rPr>
          <w:rFonts w:hint="eastAsia"/>
        </w:rPr>
        <w:t>①总体情况</w:t>
      </w:r>
    </w:p>
    <w:p>
      <w:pPr>
        <w:pStyle w:val="37"/>
        <w:ind w:firstLine="480"/>
      </w:pPr>
      <w:r>
        <w:rPr>
          <w:rFonts w:hint="eastAsia"/>
        </w:rPr>
        <w:t>对于所学专业与工作相关程度的评价，88.0%的本科生表示“很相关”或“相关”，8.0%认为“不好说”，4.0%则表示“不相关”或“很不相关”。</w:t>
      </w:r>
    </w:p>
    <w:p>
      <w:pPr>
        <w:jc w:val="center"/>
      </w:pPr>
      <w:r>
        <w:rPr>
          <w:rFonts w:hint="eastAsia"/>
        </w:rPr>
        <w:drawing>
          <wp:inline distT="0" distB="0" distL="0" distR="0">
            <wp:extent cx="6010275" cy="2743200"/>
            <wp:effectExtent l="0" t="0" r="0" b="0"/>
            <wp:docPr id="4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59"/>
        <w:spacing w:before="156" w:after="312"/>
      </w:pPr>
      <w:r>
        <w:rPr>
          <w:rFonts w:hint="eastAsia"/>
        </w:rPr>
        <w:t>本科生所学专业与工作相关程度</w:t>
      </w:r>
    </w:p>
    <w:p>
      <w:pPr>
        <w:pStyle w:val="75"/>
      </w:pPr>
      <w:r>
        <w:rPr>
          <w:rFonts w:hint="eastAsia"/>
        </w:rPr>
        <w:t>②不同专业本科生对所学专业与工作相关程度的评价</w:t>
      </w:r>
    </w:p>
    <w:p>
      <w:pPr>
        <w:pStyle w:val="37"/>
        <w:ind w:firstLine="480"/>
      </w:pPr>
      <w:r>
        <w:rPr>
          <w:rFonts w:hint="eastAsia"/>
        </w:rPr>
        <w:t>就专业而言，方差检验显示，不同专业的本科生对所学专业与工作相关程度的评价存在差异（F=1.90，p&lt;0.05）。其中，所学专业与落实工作相关程度最高的前三个专业为：表演、电视剧创作、影视编导。</w:t>
      </w:r>
    </w:p>
    <w:p>
      <w:pPr>
        <w:jc w:val="center"/>
      </w:pPr>
      <w:r>
        <w:rPr>
          <w:rFonts w:hint="eastAsia"/>
        </w:rPr>
        <w:drawing>
          <wp:inline distT="0" distB="0" distL="0" distR="0">
            <wp:extent cx="6124575" cy="3077210"/>
            <wp:effectExtent l="19050" t="0" r="9525" b="8890"/>
            <wp:docPr id="4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59"/>
        <w:spacing w:before="156" w:after="312"/>
      </w:pPr>
      <w:r>
        <w:rPr>
          <w:rFonts w:hint="eastAsia"/>
        </w:rPr>
        <w:t>不同专业本科生所学专业与工作相关程度</w:t>
      </w:r>
    </w:p>
    <w:p>
      <w:pPr>
        <w:pStyle w:val="53"/>
        <w:spacing w:before="312" w:after="156"/>
      </w:pPr>
      <w:r>
        <w:rPr>
          <w:rFonts w:hint="eastAsia"/>
        </w:rPr>
        <w:t>本科生所学专业与工作相关程度</w:t>
      </w:r>
    </w:p>
    <w:tbl>
      <w:tblPr>
        <w:tblStyle w:val="33"/>
        <w:tblW w:w="926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846"/>
        <w:gridCol w:w="695"/>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89"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很相关</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相关</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不相关</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很不相关</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31</w:t>
            </w:r>
          </w:p>
        </w:tc>
        <w:tc>
          <w:tcPr>
            <w:tcW w:w="636" w:type="dxa"/>
            <w:shd w:val="clear" w:color="auto" w:fill="auto"/>
            <w:vAlign w:val="center"/>
          </w:tcPr>
          <w:p>
            <w:pPr>
              <w:widowControl/>
              <w:jc w:val="center"/>
              <w:rPr>
                <w:color w:val="000000"/>
                <w:kern w:val="0"/>
                <w:szCs w:val="21"/>
              </w:rPr>
            </w:pPr>
            <w:r>
              <w:rPr>
                <w:color w:val="000000"/>
                <w:kern w:val="0"/>
                <w:szCs w:val="21"/>
              </w:rPr>
              <w:t>4.71</w:t>
            </w:r>
          </w:p>
        </w:tc>
        <w:tc>
          <w:tcPr>
            <w:tcW w:w="846" w:type="dxa"/>
            <w:shd w:val="clear" w:color="auto" w:fill="auto"/>
            <w:vAlign w:val="center"/>
          </w:tcPr>
          <w:p>
            <w:pPr>
              <w:widowControl/>
              <w:jc w:val="center"/>
              <w:rPr>
                <w:color w:val="000000"/>
                <w:kern w:val="0"/>
                <w:szCs w:val="21"/>
              </w:rPr>
            </w:pPr>
            <w:r>
              <w:rPr>
                <w:color w:val="000000"/>
                <w:kern w:val="0"/>
                <w:szCs w:val="21"/>
              </w:rPr>
              <w:t>1.45</w:t>
            </w:r>
          </w:p>
        </w:tc>
        <w:tc>
          <w:tcPr>
            <w:tcW w:w="846" w:type="dxa"/>
            <w:vAlign w:val="center"/>
          </w:tcPr>
          <w:p>
            <w:pPr>
              <w:widowControl/>
              <w:jc w:val="center"/>
              <w:rPr>
                <w:color w:val="000000"/>
                <w:kern w:val="0"/>
                <w:szCs w:val="21"/>
              </w:rPr>
            </w:pPr>
            <w:r>
              <w:rPr>
                <w:color w:val="000000"/>
                <w:kern w:val="0"/>
                <w:szCs w:val="21"/>
              </w:rPr>
              <w:t>74.2</w:t>
            </w:r>
          </w:p>
        </w:tc>
        <w:tc>
          <w:tcPr>
            <w:tcW w:w="695" w:type="dxa"/>
            <w:vAlign w:val="center"/>
          </w:tcPr>
          <w:p>
            <w:pPr>
              <w:widowControl/>
              <w:jc w:val="center"/>
              <w:rPr>
                <w:color w:val="000000"/>
                <w:kern w:val="0"/>
                <w:szCs w:val="21"/>
              </w:rPr>
            </w:pPr>
            <w:r>
              <w:rPr>
                <w:color w:val="000000"/>
                <w:kern w:val="0"/>
                <w:szCs w:val="21"/>
              </w:rPr>
              <w:t>22.6</w:t>
            </w:r>
          </w:p>
        </w:tc>
        <w:tc>
          <w:tcPr>
            <w:tcW w:w="846" w:type="dxa"/>
            <w:vAlign w:val="center"/>
          </w:tcPr>
          <w:p>
            <w:pPr>
              <w:widowControl/>
              <w:jc w:val="center"/>
              <w:rPr>
                <w:color w:val="000000"/>
                <w:kern w:val="0"/>
                <w:szCs w:val="21"/>
              </w:rPr>
            </w:pPr>
            <w:r>
              <w:rPr>
                <w:color w:val="000000"/>
                <w:kern w:val="0"/>
                <w:szCs w:val="21"/>
              </w:rPr>
              <w:t>3.2</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F=1.90*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4.15</w:t>
            </w:r>
          </w:p>
        </w:tc>
        <w:tc>
          <w:tcPr>
            <w:tcW w:w="846" w:type="dxa"/>
            <w:shd w:val="clear" w:color="auto" w:fill="auto"/>
            <w:vAlign w:val="center"/>
          </w:tcPr>
          <w:p>
            <w:pPr>
              <w:widowControl/>
              <w:jc w:val="center"/>
              <w:rPr>
                <w:color w:val="000000"/>
                <w:kern w:val="0"/>
                <w:szCs w:val="21"/>
              </w:rPr>
            </w:pPr>
            <w:r>
              <w:rPr>
                <w:color w:val="000000"/>
                <w:kern w:val="0"/>
                <w:szCs w:val="21"/>
              </w:rPr>
              <w:t>0.90</w:t>
            </w:r>
          </w:p>
        </w:tc>
        <w:tc>
          <w:tcPr>
            <w:tcW w:w="846" w:type="dxa"/>
            <w:vAlign w:val="center"/>
          </w:tcPr>
          <w:p>
            <w:pPr>
              <w:widowControl/>
              <w:jc w:val="center"/>
              <w:rPr>
                <w:color w:val="000000"/>
                <w:kern w:val="0"/>
                <w:szCs w:val="21"/>
              </w:rPr>
            </w:pPr>
            <w:r>
              <w:rPr>
                <w:color w:val="000000"/>
                <w:kern w:val="0"/>
                <w:szCs w:val="21"/>
              </w:rPr>
              <w:t>38.5</w:t>
            </w:r>
          </w:p>
        </w:tc>
        <w:tc>
          <w:tcPr>
            <w:tcW w:w="695" w:type="dxa"/>
            <w:vAlign w:val="center"/>
          </w:tcPr>
          <w:p>
            <w:pPr>
              <w:widowControl/>
              <w:jc w:val="center"/>
              <w:rPr>
                <w:color w:val="000000"/>
                <w:kern w:val="0"/>
                <w:szCs w:val="21"/>
              </w:rPr>
            </w:pPr>
            <w:r>
              <w:rPr>
                <w:color w:val="000000"/>
                <w:kern w:val="0"/>
                <w:szCs w:val="21"/>
              </w:rPr>
              <w:t>46.2</w:t>
            </w:r>
          </w:p>
        </w:tc>
        <w:tc>
          <w:tcPr>
            <w:tcW w:w="846" w:type="dxa"/>
            <w:vAlign w:val="center"/>
          </w:tcPr>
          <w:p>
            <w:pPr>
              <w:widowControl/>
              <w:jc w:val="center"/>
              <w:rPr>
                <w:color w:val="000000"/>
                <w:kern w:val="0"/>
                <w:szCs w:val="21"/>
              </w:rPr>
            </w:pPr>
            <w:r>
              <w:rPr>
                <w:color w:val="000000"/>
                <w:kern w:val="0"/>
                <w:szCs w:val="21"/>
              </w:rPr>
              <w:t>7.7</w:t>
            </w:r>
          </w:p>
        </w:tc>
        <w:tc>
          <w:tcPr>
            <w:tcW w:w="846" w:type="dxa"/>
            <w:vAlign w:val="center"/>
          </w:tcPr>
          <w:p>
            <w:pPr>
              <w:widowControl/>
              <w:jc w:val="center"/>
              <w:rPr>
                <w:color w:val="000000"/>
                <w:kern w:val="0"/>
                <w:szCs w:val="21"/>
              </w:rPr>
            </w:pPr>
            <w:r>
              <w:rPr>
                <w:color w:val="000000"/>
                <w:kern w:val="0"/>
                <w:szCs w:val="21"/>
              </w:rPr>
              <w:t>7.7</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0.50</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66.7</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2.08</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33.3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1.15</w:t>
            </w:r>
          </w:p>
        </w:tc>
        <w:tc>
          <w:tcPr>
            <w:tcW w:w="846" w:type="dxa"/>
            <w:vAlign w:val="center"/>
          </w:tcPr>
          <w:p>
            <w:pPr>
              <w:widowControl/>
              <w:jc w:val="center"/>
              <w:rPr>
                <w:color w:val="000000"/>
                <w:kern w:val="0"/>
                <w:szCs w:val="21"/>
              </w:rPr>
            </w:pPr>
            <w:r>
              <w:rPr>
                <w:color w:val="000000"/>
                <w:kern w:val="0"/>
                <w:szCs w:val="21"/>
              </w:rPr>
              <w:t>50.0</w:t>
            </w:r>
          </w:p>
        </w:tc>
        <w:tc>
          <w:tcPr>
            <w:tcW w:w="695"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4.14</w:t>
            </w:r>
          </w:p>
        </w:tc>
        <w:tc>
          <w:tcPr>
            <w:tcW w:w="846" w:type="dxa"/>
            <w:shd w:val="clear" w:color="auto" w:fill="auto"/>
            <w:vAlign w:val="center"/>
          </w:tcPr>
          <w:p>
            <w:pPr>
              <w:widowControl/>
              <w:jc w:val="center"/>
              <w:rPr>
                <w:color w:val="000000"/>
                <w:kern w:val="0"/>
                <w:szCs w:val="21"/>
              </w:rPr>
            </w:pPr>
            <w:r>
              <w:rPr>
                <w:color w:val="000000"/>
                <w:kern w:val="0"/>
                <w:szCs w:val="21"/>
              </w:rPr>
              <w:t>0.38</w:t>
            </w:r>
          </w:p>
        </w:tc>
        <w:tc>
          <w:tcPr>
            <w:tcW w:w="846" w:type="dxa"/>
            <w:vAlign w:val="center"/>
          </w:tcPr>
          <w:p>
            <w:pPr>
              <w:widowControl/>
              <w:jc w:val="center"/>
              <w:rPr>
                <w:color w:val="000000"/>
                <w:kern w:val="0"/>
                <w:szCs w:val="21"/>
              </w:rPr>
            </w:pPr>
            <w:r>
              <w:rPr>
                <w:color w:val="000000"/>
                <w:kern w:val="0"/>
                <w:szCs w:val="21"/>
              </w:rPr>
              <w:t>14.3</w:t>
            </w:r>
          </w:p>
        </w:tc>
        <w:tc>
          <w:tcPr>
            <w:tcW w:w="695" w:type="dxa"/>
            <w:vAlign w:val="center"/>
          </w:tcPr>
          <w:p>
            <w:pPr>
              <w:widowControl/>
              <w:jc w:val="center"/>
              <w:rPr>
                <w:color w:val="000000"/>
                <w:kern w:val="0"/>
                <w:szCs w:val="21"/>
              </w:rPr>
            </w:pPr>
            <w:r>
              <w:rPr>
                <w:color w:val="000000"/>
                <w:kern w:val="0"/>
                <w:szCs w:val="21"/>
              </w:rPr>
              <w:t>85.7</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60.0</w:t>
            </w:r>
          </w:p>
        </w:tc>
        <w:tc>
          <w:tcPr>
            <w:tcW w:w="695" w:type="dxa"/>
            <w:vAlign w:val="center"/>
          </w:tcPr>
          <w:p>
            <w:pPr>
              <w:widowControl/>
              <w:jc w:val="center"/>
              <w:rPr>
                <w:color w:val="000000"/>
                <w:kern w:val="0"/>
                <w:szCs w:val="21"/>
              </w:rPr>
            </w:pPr>
            <w:r>
              <w:rPr>
                <w:color w:val="000000"/>
                <w:kern w:val="0"/>
                <w:szCs w:val="21"/>
              </w:rPr>
              <w:t>30.0</w:t>
            </w:r>
          </w:p>
        </w:tc>
        <w:tc>
          <w:tcPr>
            <w:tcW w:w="846" w:type="dxa"/>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3.83</w:t>
            </w:r>
          </w:p>
        </w:tc>
        <w:tc>
          <w:tcPr>
            <w:tcW w:w="846" w:type="dxa"/>
            <w:shd w:val="clear" w:color="auto" w:fill="auto"/>
            <w:vAlign w:val="center"/>
          </w:tcPr>
          <w:p>
            <w:pPr>
              <w:widowControl/>
              <w:jc w:val="center"/>
              <w:rPr>
                <w:color w:val="000000"/>
                <w:kern w:val="0"/>
                <w:szCs w:val="21"/>
              </w:rPr>
            </w:pPr>
            <w:r>
              <w:rPr>
                <w:color w:val="000000"/>
                <w:kern w:val="0"/>
                <w:szCs w:val="21"/>
              </w:rPr>
              <w:t>1.19</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58.3</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8.3</w:t>
            </w:r>
          </w:p>
        </w:tc>
        <w:tc>
          <w:tcPr>
            <w:tcW w:w="1056" w:type="dxa"/>
            <w:vAlign w:val="center"/>
          </w:tcPr>
          <w:p>
            <w:pPr>
              <w:widowControl/>
              <w:jc w:val="center"/>
              <w:rPr>
                <w:color w:val="000000"/>
                <w:kern w:val="0"/>
                <w:szCs w:val="21"/>
              </w:rPr>
            </w:pPr>
            <w:r>
              <w:rPr>
                <w:color w:val="000000"/>
                <w:kern w:val="0"/>
                <w:szCs w:val="21"/>
              </w:rPr>
              <w:t>8.3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0.95</w:t>
            </w:r>
          </w:p>
        </w:tc>
        <w:tc>
          <w:tcPr>
            <w:tcW w:w="846" w:type="dxa"/>
            <w:vAlign w:val="center"/>
          </w:tcPr>
          <w:p>
            <w:pPr>
              <w:widowControl/>
              <w:jc w:val="center"/>
              <w:rPr>
                <w:color w:val="000000"/>
                <w:kern w:val="0"/>
                <w:szCs w:val="21"/>
              </w:rPr>
            </w:pPr>
            <w:r>
              <w:rPr>
                <w:color w:val="000000"/>
                <w:kern w:val="0"/>
                <w:szCs w:val="21"/>
              </w:rPr>
              <w:t>30.8</w:t>
            </w:r>
          </w:p>
        </w:tc>
        <w:tc>
          <w:tcPr>
            <w:tcW w:w="695"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7.7</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4.57</w:t>
            </w:r>
          </w:p>
        </w:tc>
        <w:tc>
          <w:tcPr>
            <w:tcW w:w="846" w:type="dxa"/>
            <w:shd w:val="clear" w:color="auto" w:fill="auto"/>
            <w:vAlign w:val="center"/>
          </w:tcPr>
          <w:p>
            <w:pPr>
              <w:widowControl/>
              <w:jc w:val="center"/>
              <w:rPr>
                <w:color w:val="000000"/>
                <w:kern w:val="0"/>
                <w:szCs w:val="21"/>
              </w:rPr>
            </w:pPr>
            <w:r>
              <w:rPr>
                <w:color w:val="000000"/>
                <w:kern w:val="0"/>
                <w:szCs w:val="21"/>
              </w:rPr>
              <w:t>1.69</w:t>
            </w:r>
          </w:p>
        </w:tc>
        <w:tc>
          <w:tcPr>
            <w:tcW w:w="846" w:type="dxa"/>
            <w:vAlign w:val="center"/>
          </w:tcPr>
          <w:p>
            <w:pPr>
              <w:widowControl/>
              <w:jc w:val="center"/>
              <w:rPr>
                <w:color w:val="000000"/>
                <w:kern w:val="0"/>
                <w:szCs w:val="21"/>
              </w:rPr>
            </w:pPr>
            <w:r>
              <w:rPr>
                <w:color w:val="000000"/>
                <w:kern w:val="0"/>
                <w:szCs w:val="21"/>
              </w:rPr>
              <w:t>57.1</w:t>
            </w:r>
          </w:p>
        </w:tc>
        <w:tc>
          <w:tcPr>
            <w:tcW w:w="695"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4.29</w:t>
            </w:r>
          </w:p>
        </w:tc>
        <w:tc>
          <w:tcPr>
            <w:tcW w:w="846" w:type="dxa"/>
            <w:shd w:val="clear" w:color="auto" w:fill="auto"/>
            <w:vAlign w:val="center"/>
          </w:tcPr>
          <w:p>
            <w:pPr>
              <w:widowControl/>
              <w:jc w:val="center"/>
              <w:rPr>
                <w:color w:val="000000"/>
                <w:kern w:val="0"/>
                <w:szCs w:val="21"/>
              </w:rPr>
            </w:pPr>
            <w:r>
              <w:rPr>
                <w:color w:val="000000"/>
                <w:kern w:val="0"/>
                <w:szCs w:val="21"/>
              </w:rPr>
              <w:t>0.61</w:t>
            </w:r>
          </w:p>
        </w:tc>
        <w:tc>
          <w:tcPr>
            <w:tcW w:w="846" w:type="dxa"/>
            <w:vAlign w:val="center"/>
          </w:tcPr>
          <w:p>
            <w:pPr>
              <w:widowControl/>
              <w:jc w:val="center"/>
              <w:rPr>
                <w:color w:val="000000"/>
                <w:kern w:val="0"/>
                <w:szCs w:val="21"/>
              </w:rPr>
            </w:pPr>
            <w:r>
              <w:rPr>
                <w:color w:val="000000"/>
                <w:kern w:val="0"/>
                <w:szCs w:val="21"/>
              </w:rPr>
              <w:t>35.7</w:t>
            </w:r>
          </w:p>
        </w:tc>
        <w:tc>
          <w:tcPr>
            <w:tcW w:w="695" w:type="dxa"/>
            <w:vAlign w:val="center"/>
          </w:tcPr>
          <w:p>
            <w:pPr>
              <w:widowControl/>
              <w:jc w:val="center"/>
              <w:rPr>
                <w:color w:val="000000"/>
                <w:kern w:val="0"/>
                <w:szCs w:val="21"/>
              </w:rPr>
            </w:pPr>
            <w:r>
              <w:rPr>
                <w:color w:val="000000"/>
                <w:kern w:val="0"/>
                <w:szCs w:val="21"/>
              </w:rPr>
              <w:t>57.1</w:t>
            </w:r>
          </w:p>
        </w:tc>
        <w:tc>
          <w:tcPr>
            <w:tcW w:w="846" w:type="dxa"/>
            <w:vAlign w:val="center"/>
          </w:tcPr>
          <w:p>
            <w:pPr>
              <w:widowControl/>
              <w:jc w:val="center"/>
              <w:rPr>
                <w:color w:val="000000"/>
                <w:kern w:val="0"/>
                <w:szCs w:val="21"/>
              </w:rPr>
            </w:pPr>
            <w:r>
              <w:rPr>
                <w:color w:val="000000"/>
                <w:kern w:val="0"/>
                <w:szCs w:val="21"/>
              </w:rPr>
              <w:t>7.1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125</w:t>
            </w:r>
          </w:p>
        </w:tc>
        <w:tc>
          <w:tcPr>
            <w:tcW w:w="636" w:type="dxa"/>
            <w:shd w:val="clear" w:color="auto" w:fill="auto"/>
            <w:vAlign w:val="center"/>
          </w:tcPr>
          <w:p>
            <w:pPr>
              <w:widowControl/>
              <w:jc w:val="center"/>
              <w:rPr>
                <w:color w:val="000000"/>
                <w:kern w:val="0"/>
                <w:szCs w:val="21"/>
              </w:rPr>
            </w:pPr>
            <w:r>
              <w:rPr>
                <w:color w:val="000000"/>
                <w:kern w:val="0"/>
                <w:szCs w:val="21"/>
              </w:rPr>
              <w:t>4.28</w:t>
            </w:r>
          </w:p>
        </w:tc>
        <w:tc>
          <w:tcPr>
            <w:tcW w:w="846" w:type="dxa"/>
            <w:shd w:val="clear" w:color="auto" w:fill="auto"/>
            <w:vAlign w:val="center"/>
          </w:tcPr>
          <w:p>
            <w:pPr>
              <w:widowControl/>
              <w:jc w:val="center"/>
              <w:rPr>
                <w:color w:val="000000"/>
                <w:kern w:val="0"/>
                <w:szCs w:val="21"/>
              </w:rPr>
            </w:pPr>
            <w:r>
              <w:rPr>
                <w:color w:val="000000"/>
                <w:kern w:val="0"/>
                <w:szCs w:val="21"/>
              </w:rPr>
              <w:t>0.84</w:t>
            </w:r>
          </w:p>
        </w:tc>
        <w:tc>
          <w:tcPr>
            <w:tcW w:w="846" w:type="dxa"/>
            <w:vAlign w:val="center"/>
          </w:tcPr>
          <w:p>
            <w:pPr>
              <w:widowControl/>
              <w:jc w:val="center"/>
              <w:rPr>
                <w:color w:val="000000"/>
                <w:kern w:val="0"/>
                <w:szCs w:val="21"/>
              </w:rPr>
            </w:pPr>
            <w:r>
              <w:rPr>
                <w:color w:val="000000"/>
                <w:kern w:val="0"/>
                <w:szCs w:val="21"/>
              </w:rPr>
              <w:t>45.6</w:t>
            </w:r>
          </w:p>
        </w:tc>
        <w:tc>
          <w:tcPr>
            <w:tcW w:w="695" w:type="dxa"/>
            <w:vAlign w:val="center"/>
          </w:tcPr>
          <w:p>
            <w:pPr>
              <w:widowControl/>
              <w:jc w:val="center"/>
              <w:rPr>
                <w:color w:val="000000"/>
                <w:kern w:val="0"/>
                <w:szCs w:val="21"/>
              </w:rPr>
            </w:pPr>
            <w:r>
              <w:rPr>
                <w:color w:val="000000"/>
                <w:kern w:val="0"/>
                <w:szCs w:val="21"/>
              </w:rPr>
              <w:t>42.4</w:t>
            </w:r>
          </w:p>
        </w:tc>
        <w:tc>
          <w:tcPr>
            <w:tcW w:w="846" w:type="dxa"/>
            <w:vAlign w:val="center"/>
          </w:tcPr>
          <w:p>
            <w:pPr>
              <w:widowControl/>
              <w:jc w:val="center"/>
              <w:rPr>
                <w:color w:val="000000"/>
                <w:kern w:val="0"/>
                <w:szCs w:val="21"/>
              </w:rPr>
            </w:pPr>
            <w:r>
              <w:rPr>
                <w:color w:val="000000"/>
                <w:kern w:val="0"/>
                <w:szCs w:val="21"/>
              </w:rPr>
              <w:t>8.0</w:t>
            </w:r>
          </w:p>
        </w:tc>
        <w:tc>
          <w:tcPr>
            <w:tcW w:w="846" w:type="dxa"/>
            <w:vAlign w:val="center"/>
          </w:tcPr>
          <w:p>
            <w:pPr>
              <w:widowControl/>
              <w:jc w:val="center"/>
              <w:rPr>
                <w:color w:val="000000"/>
                <w:kern w:val="0"/>
                <w:szCs w:val="21"/>
              </w:rPr>
            </w:pPr>
            <w:r>
              <w:rPr>
                <w:color w:val="000000"/>
                <w:kern w:val="0"/>
                <w:szCs w:val="21"/>
              </w:rPr>
              <w:t>2.4</w:t>
            </w:r>
          </w:p>
        </w:tc>
        <w:tc>
          <w:tcPr>
            <w:tcW w:w="1056" w:type="dxa"/>
            <w:vAlign w:val="center"/>
          </w:tcPr>
          <w:p>
            <w:pPr>
              <w:widowControl/>
              <w:jc w:val="center"/>
              <w:rPr>
                <w:color w:val="000000"/>
                <w:kern w:val="0"/>
                <w:szCs w:val="21"/>
              </w:rPr>
            </w:pPr>
            <w:r>
              <w:rPr>
                <w:color w:val="000000"/>
                <w:kern w:val="0"/>
                <w:szCs w:val="21"/>
              </w:rPr>
              <w:t>1.6</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注：得分5=很相关，4=相关，3=不好说，2=不相关，1=很不相关</w:t>
      </w:r>
    </w:p>
    <w:p>
      <w:pPr>
        <w:pStyle w:val="37"/>
        <w:ind w:firstLine="0" w:firstLineChars="0"/>
      </w:pPr>
    </w:p>
    <w:p>
      <w:pPr>
        <w:pStyle w:val="70"/>
      </w:pPr>
      <w:r>
        <w:rPr>
          <w:rFonts w:hint="eastAsia"/>
        </w:rPr>
        <w:t>（2）教育层次与工作的适配情况</w:t>
      </w:r>
    </w:p>
    <w:p>
      <w:pPr>
        <w:pStyle w:val="75"/>
      </w:pPr>
      <w:bookmarkStart w:id="150" w:name="PO_332102"/>
      <w:bookmarkEnd w:id="150"/>
      <w:r>
        <w:rPr>
          <w:rFonts w:hint="eastAsia"/>
        </w:rPr>
        <w:t>①总体情况</w:t>
      </w:r>
    </w:p>
    <w:p>
      <w:pPr>
        <w:pStyle w:val="37"/>
        <w:ind w:firstLine="480"/>
      </w:pPr>
      <w:r>
        <w:rPr>
          <w:rFonts w:hint="eastAsia"/>
        </w:rPr>
        <w:t>从学历层次与岗位要求的匹配程度看，22.4%的本科生表示教育层次高于岗位要求，74.4%的本科生表示教育层次恰好满足岗位要求，3.2%的本科生表示教育层次低于岗位要求。</w:t>
      </w:r>
    </w:p>
    <w:p>
      <w:pPr>
        <w:jc w:val="center"/>
      </w:pPr>
      <w:r>
        <w:rPr>
          <w:rFonts w:hint="eastAsia"/>
        </w:rPr>
        <w:drawing>
          <wp:inline distT="0" distB="0" distL="0" distR="0">
            <wp:extent cx="6076950" cy="3077210"/>
            <wp:effectExtent l="19050" t="0" r="19050" b="8890"/>
            <wp:docPr id="4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59"/>
        <w:spacing w:before="156" w:after="312"/>
      </w:pPr>
      <w:r>
        <w:rPr>
          <w:rFonts w:hint="eastAsia"/>
        </w:rPr>
        <w:t>本科生教育层次与工作的适配情况</w:t>
      </w:r>
    </w:p>
    <w:p>
      <w:pPr>
        <w:pStyle w:val="75"/>
      </w:pPr>
      <w:r>
        <w:rPr>
          <w:rFonts w:hint="eastAsia"/>
        </w:rPr>
        <w:t>②不同专业本科生教育层次与工作适配情况</w:t>
      </w:r>
    </w:p>
    <w:p>
      <w:pPr>
        <w:pStyle w:val="37"/>
        <w:ind w:firstLine="480"/>
      </w:pPr>
      <w:r>
        <w:rPr>
          <w:rFonts w:hint="eastAsia"/>
        </w:rPr>
        <w:t>就专业而言，卡方检验显示，不同专业本科生的教育层次与工作适配情况不存在显著性差异（χ²=33.65，p&gt;0.05）。</w:t>
      </w:r>
    </w:p>
    <w:p>
      <w:pPr>
        <w:jc w:val="center"/>
      </w:pPr>
      <w:r>
        <w:rPr>
          <w:rFonts w:hint="eastAsia"/>
        </w:rPr>
        <w:drawing>
          <wp:inline distT="0" distB="0" distL="0" distR="0">
            <wp:extent cx="5274310" cy="8391525"/>
            <wp:effectExtent l="19050" t="0" r="21590" b="0"/>
            <wp:docPr id="41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59"/>
        <w:spacing w:before="156" w:after="312"/>
      </w:pPr>
      <w:r>
        <w:rPr>
          <w:rFonts w:hint="eastAsia"/>
        </w:rPr>
        <w:t>不同专业本科生教育层次与工作的适配情况</w:t>
      </w:r>
    </w:p>
    <w:p>
      <w:pPr>
        <w:pStyle w:val="53"/>
        <w:spacing w:before="312" w:after="156"/>
      </w:pPr>
      <w:r>
        <w:rPr>
          <w:rFonts w:hint="eastAsia"/>
        </w:rPr>
        <w:t>本科生教育层次与工作的适配情况</w:t>
      </w:r>
    </w:p>
    <w:tbl>
      <w:tblPr>
        <w:tblStyle w:val="33"/>
        <w:tblW w:w="833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1476"/>
        <w:gridCol w:w="1896"/>
        <w:gridCol w:w="147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484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26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531" w:type="dxa"/>
            <w:vMerge w:val="continue"/>
            <w:shd w:val="clear" w:color="auto" w:fill="auto"/>
            <w:vAlign w:val="center"/>
          </w:tcPr>
          <w:p>
            <w:pPr>
              <w:widowControl/>
              <w:jc w:val="center"/>
              <w:rPr>
                <w:rFonts w:ascii="宋体" w:hAnsi="宋体" w:cs="宋体"/>
                <w:color w:val="000000"/>
                <w:kern w:val="0"/>
                <w:szCs w:val="21"/>
              </w:rPr>
            </w:pPr>
          </w:p>
        </w:tc>
        <w:tc>
          <w:tcPr>
            <w:tcW w:w="147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高于岗位要求</w:t>
            </w:r>
          </w:p>
        </w:tc>
        <w:tc>
          <w:tcPr>
            <w:tcW w:w="189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恰好满足岗位要求</w:t>
            </w:r>
          </w:p>
        </w:tc>
        <w:tc>
          <w:tcPr>
            <w:tcW w:w="147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低于岗位要求</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表演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31</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12.9</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83.9</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3.2</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x²=33.65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播音与主持</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23.1</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76.9</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导演</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电视剧创作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舞台灯光</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舞台服装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75.0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舞台化装</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舞台绘景</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57.1</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42.9</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舞台设计</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戏剧创作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戏剧学</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8.3</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91.7</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演出制作</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15.4</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84.6</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影视编导</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42.9</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57.1</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266" w:type="dxa"/>
            <w:shd w:val="clear" w:color="auto" w:fill="auto"/>
            <w:vAlign w:val="center"/>
          </w:tcPr>
          <w:p>
            <w:pPr>
              <w:widowControl/>
              <w:rPr>
                <w:rFonts w:ascii="宋体" w:hAnsi="宋体" w:cs="Arial"/>
                <w:kern w:val="0"/>
                <w:szCs w:val="21"/>
              </w:rPr>
            </w:pPr>
            <w:r>
              <w:rPr>
                <w:rFonts w:hint="eastAsia" w:ascii="宋体" w:hAnsi="宋体" w:cs="Arial"/>
                <w:kern w:val="0"/>
                <w:szCs w:val="21"/>
              </w:rPr>
              <w:t>制片管理</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28.6</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64.3</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90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53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125</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22.4</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74.4</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3.2</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0" w:firstLineChars="0"/>
      </w:pPr>
    </w:p>
    <w:p>
      <w:pPr>
        <w:pStyle w:val="67"/>
      </w:pPr>
      <w:bookmarkStart w:id="151" w:name="_Toc470167403"/>
      <w:bookmarkStart w:id="152" w:name="OLE_LINK1"/>
      <w:bookmarkStart w:id="153" w:name="OLE_LINK2"/>
      <w:r>
        <w:rPr>
          <w:rFonts w:hint="eastAsia"/>
        </w:rPr>
        <w:t>11、落实工作与期望相符情况</w:t>
      </w:r>
      <w:bookmarkEnd w:id="151"/>
    </w:p>
    <w:p>
      <w:pPr>
        <w:pStyle w:val="70"/>
      </w:pPr>
      <w:bookmarkStart w:id="154" w:name="PO_3325"/>
      <w:bookmarkEnd w:id="154"/>
      <w:r>
        <w:rPr>
          <w:rFonts w:hint="eastAsia"/>
        </w:rPr>
        <w:t>（1）总体情况</w:t>
      </w:r>
    </w:p>
    <w:p>
      <w:pPr>
        <w:pStyle w:val="37"/>
        <w:ind w:firstLine="480"/>
      </w:pPr>
      <w:r>
        <w:rPr>
          <w:rFonts w:hint="eastAsia"/>
        </w:rPr>
        <w:t>总体而言，72.9%的本科生表示“很相符”或“相符”，21.7%认为“不好说”，5.5%则表示“不相符”或“很不相符”。</w:t>
      </w:r>
    </w:p>
    <w:p>
      <w:pPr>
        <w:jc w:val="center"/>
      </w:pPr>
      <w:r>
        <w:rPr>
          <w:rFonts w:hint="eastAsia"/>
        </w:rPr>
        <w:drawing>
          <wp:inline distT="0" distB="0" distL="0" distR="0">
            <wp:extent cx="6076950" cy="3077210"/>
            <wp:effectExtent l="19050" t="0" r="19050" b="8890"/>
            <wp:docPr id="4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59"/>
        <w:spacing w:before="156" w:after="312"/>
      </w:pPr>
      <w:r>
        <w:rPr>
          <w:rFonts w:hint="eastAsia"/>
        </w:rPr>
        <w:t>本科生落实工作与期望相符情况</w:t>
      </w:r>
    </w:p>
    <w:p>
      <w:pPr>
        <w:pStyle w:val="70"/>
      </w:pPr>
      <w:r>
        <w:rPr>
          <w:rFonts w:hint="eastAsia"/>
        </w:rPr>
        <w:t>（2）不同专业本科生落实工作与期望相符情况</w:t>
      </w:r>
    </w:p>
    <w:p>
      <w:pPr>
        <w:pStyle w:val="37"/>
        <w:ind w:firstLine="480"/>
      </w:pPr>
      <w:r>
        <w:rPr>
          <w:rFonts w:hint="eastAsia"/>
        </w:rPr>
        <w:t>就专业而言，方差检验显示，不同专业的本科生落实工作与期望相符情况存在显著性差异（F=2.51，p&lt;0.01）。其中，评分排名前三的专业依次为：表演、影视编导、播音与主持。</w:t>
      </w:r>
    </w:p>
    <w:p>
      <w:pPr>
        <w:jc w:val="center"/>
      </w:pPr>
      <w:r>
        <w:rPr>
          <w:rFonts w:hint="eastAsia"/>
        </w:rPr>
        <w:drawing>
          <wp:inline distT="0" distB="0" distL="0" distR="0">
            <wp:extent cx="6124575" cy="3077210"/>
            <wp:effectExtent l="19050" t="0" r="9525" b="8890"/>
            <wp:docPr id="4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59"/>
        <w:spacing w:before="156" w:after="312"/>
      </w:pPr>
      <w:r>
        <w:rPr>
          <w:rFonts w:hint="eastAsia"/>
        </w:rPr>
        <w:t>不同专业本科生落实工作与期望相符情况</w:t>
      </w:r>
    </w:p>
    <w:p>
      <w:pPr>
        <w:pStyle w:val="53"/>
        <w:spacing w:before="312" w:after="156"/>
      </w:pPr>
      <w:r>
        <w:rPr>
          <w:rFonts w:hint="eastAsia"/>
        </w:rPr>
        <w:t>本科生落实工作与期望相符情况</w:t>
      </w:r>
    </w:p>
    <w:tbl>
      <w:tblPr>
        <w:tblStyle w:val="33"/>
        <w:tblW w:w="920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846"/>
        <w:gridCol w:w="636"/>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30"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很相符</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相符</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不相符</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很不相符</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34</w:t>
            </w:r>
          </w:p>
        </w:tc>
        <w:tc>
          <w:tcPr>
            <w:tcW w:w="636" w:type="dxa"/>
            <w:shd w:val="clear" w:color="auto" w:fill="auto"/>
            <w:vAlign w:val="center"/>
          </w:tcPr>
          <w:p>
            <w:pPr>
              <w:widowControl/>
              <w:jc w:val="center"/>
              <w:rPr>
                <w:color w:val="000000"/>
                <w:kern w:val="0"/>
                <w:szCs w:val="21"/>
              </w:rPr>
            </w:pPr>
            <w:r>
              <w:rPr>
                <w:color w:val="000000"/>
                <w:kern w:val="0"/>
                <w:szCs w:val="21"/>
              </w:rPr>
              <w:t>4.32</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846" w:type="dxa"/>
            <w:vAlign w:val="center"/>
          </w:tcPr>
          <w:p>
            <w:pPr>
              <w:widowControl/>
              <w:jc w:val="center"/>
              <w:rPr>
                <w:color w:val="000000"/>
                <w:kern w:val="0"/>
                <w:szCs w:val="21"/>
              </w:rPr>
            </w:pPr>
            <w:r>
              <w:rPr>
                <w:color w:val="000000"/>
                <w:kern w:val="0"/>
                <w:szCs w:val="21"/>
              </w:rPr>
              <w:t>44.1</w:t>
            </w:r>
          </w:p>
        </w:tc>
        <w:tc>
          <w:tcPr>
            <w:tcW w:w="636" w:type="dxa"/>
            <w:vAlign w:val="center"/>
          </w:tcPr>
          <w:p>
            <w:pPr>
              <w:widowControl/>
              <w:jc w:val="center"/>
              <w:rPr>
                <w:color w:val="000000"/>
                <w:kern w:val="0"/>
                <w:szCs w:val="21"/>
              </w:rPr>
            </w:pPr>
            <w:r>
              <w:rPr>
                <w:color w:val="000000"/>
                <w:kern w:val="0"/>
                <w:szCs w:val="21"/>
              </w:rPr>
              <w:t>44.1</w:t>
            </w:r>
          </w:p>
        </w:tc>
        <w:tc>
          <w:tcPr>
            <w:tcW w:w="846" w:type="dxa"/>
            <w:vAlign w:val="center"/>
          </w:tcPr>
          <w:p>
            <w:pPr>
              <w:widowControl/>
              <w:jc w:val="center"/>
              <w:rPr>
                <w:color w:val="000000"/>
                <w:kern w:val="0"/>
                <w:szCs w:val="21"/>
              </w:rPr>
            </w:pPr>
            <w:r>
              <w:rPr>
                <w:color w:val="000000"/>
                <w:kern w:val="0"/>
                <w:szCs w:val="21"/>
              </w:rPr>
              <w:t>11.8</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F=2.51**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4.15</w:t>
            </w:r>
          </w:p>
        </w:tc>
        <w:tc>
          <w:tcPr>
            <w:tcW w:w="846" w:type="dxa"/>
            <w:shd w:val="clear" w:color="auto" w:fill="auto"/>
            <w:vAlign w:val="center"/>
          </w:tcPr>
          <w:p>
            <w:pPr>
              <w:widowControl/>
              <w:jc w:val="center"/>
              <w:rPr>
                <w:color w:val="000000"/>
                <w:kern w:val="0"/>
                <w:szCs w:val="21"/>
              </w:rPr>
            </w:pPr>
            <w:r>
              <w:rPr>
                <w:color w:val="000000"/>
                <w:kern w:val="0"/>
                <w:szCs w:val="21"/>
              </w:rPr>
              <w:t>0.80</w:t>
            </w:r>
          </w:p>
        </w:tc>
        <w:tc>
          <w:tcPr>
            <w:tcW w:w="846" w:type="dxa"/>
            <w:vAlign w:val="center"/>
          </w:tcPr>
          <w:p>
            <w:pPr>
              <w:widowControl/>
              <w:jc w:val="center"/>
              <w:rPr>
                <w:color w:val="000000"/>
                <w:kern w:val="0"/>
                <w:szCs w:val="21"/>
              </w:rPr>
            </w:pPr>
            <w:r>
              <w:rPr>
                <w:color w:val="000000"/>
                <w:kern w:val="0"/>
                <w:szCs w:val="21"/>
              </w:rPr>
              <w:t>38.5</w:t>
            </w:r>
          </w:p>
        </w:tc>
        <w:tc>
          <w:tcPr>
            <w:tcW w:w="636" w:type="dxa"/>
            <w:vAlign w:val="center"/>
          </w:tcPr>
          <w:p>
            <w:pPr>
              <w:widowControl/>
              <w:jc w:val="center"/>
              <w:rPr>
                <w:color w:val="000000"/>
                <w:kern w:val="0"/>
                <w:szCs w:val="21"/>
              </w:rPr>
            </w:pPr>
            <w:r>
              <w:rPr>
                <w:color w:val="000000"/>
                <w:kern w:val="0"/>
                <w:szCs w:val="21"/>
              </w:rPr>
              <w:t>38.5</w:t>
            </w:r>
          </w:p>
        </w:tc>
        <w:tc>
          <w:tcPr>
            <w:tcW w:w="846" w:type="dxa"/>
            <w:vAlign w:val="center"/>
          </w:tcPr>
          <w:p>
            <w:pPr>
              <w:widowControl/>
              <w:jc w:val="center"/>
              <w:rPr>
                <w:color w:val="000000"/>
                <w:kern w:val="0"/>
                <w:szCs w:val="21"/>
              </w:rPr>
            </w:pPr>
            <w:r>
              <w:rPr>
                <w:color w:val="000000"/>
                <w:kern w:val="0"/>
                <w:szCs w:val="21"/>
              </w:rPr>
              <w:t>23.1</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846" w:type="dxa"/>
            <w:vAlign w:val="center"/>
          </w:tcPr>
          <w:p>
            <w:pPr>
              <w:widowControl/>
              <w:jc w:val="center"/>
              <w:rPr>
                <w:color w:val="000000"/>
                <w:kern w:val="0"/>
                <w:szCs w:val="21"/>
              </w:rPr>
            </w:pPr>
            <w:r>
              <w:rPr>
                <w:color w:val="000000"/>
                <w:kern w:val="0"/>
                <w:szCs w:val="21"/>
              </w:rPr>
              <w:t>25.0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1.73</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33.3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3.75</w:t>
            </w:r>
          </w:p>
        </w:tc>
        <w:tc>
          <w:tcPr>
            <w:tcW w:w="846" w:type="dxa"/>
            <w:shd w:val="clear" w:color="auto" w:fill="auto"/>
            <w:vAlign w:val="center"/>
          </w:tcPr>
          <w:p>
            <w:pPr>
              <w:widowControl/>
              <w:jc w:val="center"/>
              <w:rPr>
                <w:color w:val="000000"/>
                <w:kern w:val="0"/>
                <w:szCs w:val="21"/>
              </w:rPr>
            </w:pPr>
            <w:r>
              <w:rPr>
                <w:color w:val="000000"/>
                <w:kern w:val="0"/>
                <w:szCs w:val="21"/>
              </w:rPr>
              <w:t>0.96</w:t>
            </w:r>
          </w:p>
        </w:tc>
        <w:tc>
          <w:tcPr>
            <w:tcW w:w="846" w:type="dxa"/>
            <w:vAlign w:val="center"/>
          </w:tcPr>
          <w:p>
            <w:pPr>
              <w:widowControl/>
              <w:jc w:val="center"/>
              <w:rPr>
                <w:color w:val="000000"/>
                <w:kern w:val="0"/>
                <w:szCs w:val="21"/>
              </w:rPr>
            </w:pPr>
            <w:r>
              <w:rPr>
                <w:color w:val="000000"/>
                <w:kern w:val="0"/>
                <w:szCs w:val="21"/>
              </w:rPr>
              <w:t>25.0</w:t>
            </w:r>
          </w:p>
        </w:tc>
        <w:tc>
          <w:tcPr>
            <w:tcW w:w="63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3.33</w:t>
            </w:r>
          </w:p>
        </w:tc>
        <w:tc>
          <w:tcPr>
            <w:tcW w:w="846" w:type="dxa"/>
            <w:shd w:val="clear" w:color="auto" w:fill="auto"/>
            <w:vAlign w:val="center"/>
          </w:tcPr>
          <w:p>
            <w:pPr>
              <w:widowControl/>
              <w:jc w:val="center"/>
              <w:rPr>
                <w:color w:val="000000"/>
                <w:kern w:val="0"/>
                <w:szCs w:val="21"/>
              </w:rPr>
            </w:pPr>
            <w:r>
              <w:rPr>
                <w:color w:val="000000"/>
                <w:kern w:val="0"/>
                <w:szCs w:val="21"/>
              </w:rPr>
              <w:t>0.58</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28.6</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3.00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0.94</w:t>
            </w:r>
          </w:p>
        </w:tc>
        <w:tc>
          <w:tcPr>
            <w:tcW w:w="846" w:type="dxa"/>
            <w:vAlign w:val="center"/>
          </w:tcPr>
          <w:p>
            <w:pPr>
              <w:widowControl/>
              <w:jc w:val="center"/>
              <w:rPr>
                <w:color w:val="000000"/>
                <w:kern w:val="0"/>
                <w:szCs w:val="21"/>
              </w:rPr>
            </w:pPr>
            <w:r>
              <w:rPr>
                <w:color w:val="000000"/>
                <w:kern w:val="0"/>
                <w:szCs w:val="21"/>
              </w:rPr>
              <w:t>30.0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10.0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0.98</w:t>
            </w:r>
          </w:p>
        </w:tc>
        <w:tc>
          <w:tcPr>
            <w:tcW w:w="846" w:type="dxa"/>
            <w:vAlign w:val="center"/>
          </w:tcPr>
          <w:p>
            <w:pPr>
              <w:widowControl/>
              <w:jc w:val="center"/>
              <w:rPr>
                <w:color w:val="000000"/>
                <w:kern w:val="0"/>
                <w:szCs w:val="21"/>
              </w:rPr>
            </w:pPr>
            <w:r>
              <w:rPr>
                <w:color w:val="000000"/>
                <w:kern w:val="0"/>
                <w:szCs w:val="21"/>
              </w:rPr>
              <w:t>16.7</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16.7</w:t>
            </w:r>
          </w:p>
        </w:tc>
        <w:tc>
          <w:tcPr>
            <w:tcW w:w="846" w:type="dxa"/>
            <w:vAlign w:val="center"/>
          </w:tcPr>
          <w:p>
            <w:pPr>
              <w:widowControl/>
              <w:jc w:val="center"/>
              <w:rPr>
                <w:color w:val="000000"/>
                <w:kern w:val="0"/>
                <w:szCs w:val="21"/>
              </w:rPr>
            </w:pPr>
            <w:r>
              <w:rPr>
                <w:color w:val="000000"/>
                <w:kern w:val="0"/>
                <w:szCs w:val="21"/>
              </w:rPr>
              <w:t>16.7</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3.92</w:t>
            </w:r>
          </w:p>
        </w:tc>
        <w:tc>
          <w:tcPr>
            <w:tcW w:w="846" w:type="dxa"/>
            <w:shd w:val="clear" w:color="auto" w:fill="auto"/>
            <w:vAlign w:val="center"/>
          </w:tcPr>
          <w:p>
            <w:pPr>
              <w:widowControl/>
              <w:jc w:val="center"/>
              <w:rPr>
                <w:color w:val="000000"/>
                <w:kern w:val="0"/>
                <w:szCs w:val="21"/>
              </w:rPr>
            </w:pPr>
            <w:r>
              <w:rPr>
                <w:color w:val="000000"/>
                <w:kern w:val="0"/>
                <w:szCs w:val="21"/>
              </w:rPr>
              <w:t>0.76</w:t>
            </w:r>
          </w:p>
        </w:tc>
        <w:tc>
          <w:tcPr>
            <w:tcW w:w="846" w:type="dxa"/>
            <w:vAlign w:val="center"/>
          </w:tcPr>
          <w:p>
            <w:pPr>
              <w:widowControl/>
              <w:jc w:val="center"/>
              <w:rPr>
                <w:color w:val="000000"/>
                <w:kern w:val="0"/>
                <w:szCs w:val="21"/>
              </w:rPr>
            </w:pPr>
            <w:r>
              <w:rPr>
                <w:color w:val="000000"/>
                <w:kern w:val="0"/>
                <w:szCs w:val="21"/>
              </w:rPr>
              <w:t>15.4</w:t>
            </w:r>
          </w:p>
        </w:tc>
        <w:tc>
          <w:tcPr>
            <w:tcW w:w="636" w:type="dxa"/>
            <w:vAlign w:val="center"/>
          </w:tcPr>
          <w:p>
            <w:pPr>
              <w:widowControl/>
              <w:jc w:val="center"/>
              <w:rPr>
                <w:color w:val="000000"/>
                <w:kern w:val="0"/>
                <w:szCs w:val="21"/>
              </w:rPr>
            </w:pPr>
            <w:r>
              <w:rPr>
                <w:color w:val="000000"/>
                <w:kern w:val="0"/>
                <w:szCs w:val="21"/>
              </w:rPr>
              <w:t>69.2</w:t>
            </w:r>
          </w:p>
        </w:tc>
        <w:tc>
          <w:tcPr>
            <w:tcW w:w="846" w:type="dxa"/>
            <w:vAlign w:val="center"/>
          </w:tcPr>
          <w:p>
            <w:pPr>
              <w:widowControl/>
              <w:jc w:val="center"/>
              <w:rPr>
                <w:color w:val="000000"/>
                <w:kern w:val="0"/>
                <w:szCs w:val="21"/>
              </w:rPr>
            </w:pPr>
            <w:r>
              <w:rPr>
                <w:color w:val="000000"/>
                <w:kern w:val="0"/>
                <w:szCs w:val="21"/>
              </w:rPr>
              <w:t>7.7</w:t>
            </w:r>
          </w:p>
        </w:tc>
        <w:tc>
          <w:tcPr>
            <w:tcW w:w="846" w:type="dxa"/>
            <w:vAlign w:val="center"/>
          </w:tcPr>
          <w:p>
            <w:pPr>
              <w:widowControl/>
              <w:jc w:val="center"/>
              <w:rPr>
                <w:color w:val="000000"/>
                <w:kern w:val="0"/>
                <w:szCs w:val="21"/>
              </w:rPr>
            </w:pPr>
            <w:r>
              <w:rPr>
                <w:color w:val="000000"/>
                <w:kern w:val="0"/>
                <w:szCs w:val="21"/>
              </w:rPr>
              <w:t>7.7</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0.46</w:t>
            </w:r>
          </w:p>
        </w:tc>
        <w:tc>
          <w:tcPr>
            <w:tcW w:w="846" w:type="dxa"/>
            <w:vAlign w:val="center"/>
          </w:tcPr>
          <w:p>
            <w:pPr>
              <w:widowControl/>
              <w:jc w:val="center"/>
              <w:rPr>
                <w:color w:val="000000"/>
                <w:kern w:val="0"/>
                <w:szCs w:val="21"/>
              </w:rPr>
            </w:pPr>
            <w:r>
              <w:rPr>
                <w:color w:val="000000"/>
                <w:kern w:val="0"/>
                <w:szCs w:val="21"/>
              </w:rPr>
              <w:t>25.0</w:t>
            </w:r>
          </w:p>
        </w:tc>
        <w:tc>
          <w:tcPr>
            <w:tcW w:w="636" w:type="dxa"/>
            <w:vAlign w:val="center"/>
          </w:tcPr>
          <w:p>
            <w:pPr>
              <w:widowControl/>
              <w:jc w:val="center"/>
              <w:rPr>
                <w:color w:val="000000"/>
                <w:kern w:val="0"/>
                <w:szCs w:val="21"/>
              </w:rPr>
            </w:pPr>
            <w:r>
              <w:rPr>
                <w:color w:val="000000"/>
                <w:kern w:val="0"/>
                <w:szCs w:val="21"/>
              </w:rPr>
              <w:t>75.0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3.57</w:t>
            </w:r>
          </w:p>
        </w:tc>
        <w:tc>
          <w:tcPr>
            <w:tcW w:w="846" w:type="dxa"/>
            <w:shd w:val="clear" w:color="auto" w:fill="auto"/>
            <w:vAlign w:val="center"/>
          </w:tcPr>
          <w:p>
            <w:pPr>
              <w:widowControl/>
              <w:jc w:val="center"/>
              <w:rPr>
                <w:color w:val="000000"/>
                <w:kern w:val="0"/>
                <w:szCs w:val="21"/>
              </w:rPr>
            </w:pPr>
            <w:r>
              <w:rPr>
                <w:color w:val="000000"/>
                <w:kern w:val="0"/>
                <w:szCs w:val="21"/>
              </w:rPr>
              <w:t>0.65</w:t>
            </w:r>
          </w:p>
        </w:tc>
        <w:tc>
          <w:tcPr>
            <w:tcW w:w="846" w:type="dxa"/>
            <w:vAlign w:val="center"/>
          </w:tcPr>
          <w:p>
            <w:pPr>
              <w:widowControl/>
              <w:jc w:val="center"/>
              <w:rPr>
                <w:color w:val="000000"/>
                <w:kern w:val="0"/>
                <w:szCs w:val="21"/>
              </w:rPr>
            </w:pPr>
            <w:r>
              <w:rPr>
                <w:color w:val="000000"/>
                <w:kern w:val="0"/>
                <w:szCs w:val="21"/>
              </w:rPr>
              <w:t>7.1</w:t>
            </w:r>
          </w:p>
        </w:tc>
        <w:tc>
          <w:tcPr>
            <w:tcW w:w="636"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129</w:t>
            </w:r>
          </w:p>
        </w:tc>
        <w:tc>
          <w:tcPr>
            <w:tcW w:w="636" w:type="dxa"/>
            <w:shd w:val="clear" w:color="auto" w:fill="auto"/>
            <w:vAlign w:val="center"/>
          </w:tcPr>
          <w:p>
            <w:pPr>
              <w:widowControl/>
              <w:jc w:val="center"/>
              <w:rPr>
                <w:color w:val="000000"/>
                <w:kern w:val="0"/>
                <w:szCs w:val="21"/>
              </w:rPr>
            </w:pPr>
            <w:r>
              <w:rPr>
                <w:color w:val="000000"/>
                <w:kern w:val="0"/>
                <w:szCs w:val="21"/>
              </w:rPr>
              <w:t>3.91</w:t>
            </w:r>
          </w:p>
        </w:tc>
        <w:tc>
          <w:tcPr>
            <w:tcW w:w="846" w:type="dxa"/>
            <w:shd w:val="clear" w:color="auto" w:fill="auto"/>
            <w:vAlign w:val="center"/>
          </w:tcPr>
          <w:p>
            <w:pPr>
              <w:widowControl/>
              <w:jc w:val="center"/>
              <w:rPr>
                <w:color w:val="000000"/>
                <w:kern w:val="0"/>
                <w:szCs w:val="21"/>
              </w:rPr>
            </w:pPr>
            <w:r>
              <w:rPr>
                <w:color w:val="000000"/>
                <w:kern w:val="0"/>
                <w:szCs w:val="21"/>
              </w:rPr>
              <w:t>0.85</w:t>
            </w:r>
          </w:p>
        </w:tc>
        <w:tc>
          <w:tcPr>
            <w:tcW w:w="846" w:type="dxa"/>
            <w:vAlign w:val="center"/>
          </w:tcPr>
          <w:p>
            <w:pPr>
              <w:widowControl/>
              <w:jc w:val="center"/>
              <w:rPr>
                <w:color w:val="000000"/>
                <w:kern w:val="0"/>
                <w:szCs w:val="21"/>
              </w:rPr>
            </w:pPr>
            <w:r>
              <w:rPr>
                <w:color w:val="000000"/>
                <w:kern w:val="0"/>
                <w:szCs w:val="21"/>
              </w:rPr>
              <w:t>24.8</w:t>
            </w:r>
          </w:p>
        </w:tc>
        <w:tc>
          <w:tcPr>
            <w:tcW w:w="636" w:type="dxa"/>
            <w:vAlign w:val="center"/>
          </w:tcPr>
          <w:p>
            <w:pPr>
              <w:widowControl/>
              <w:jc w:val="center"/>
              <w:rPr>
                <w:color w:val="000000"/>
                <w:kern w:val="0"/>
                <w:szCs w:val="21"/>
              </w:rPr>
            </w:pPr>
            <w:r>
              <w:rPr>
                <w:color w:val="000000"/>
                <w:kern w:val="0"/>
                <w:szCs w:val="21"/>
              </w:rPr>
              <w:t>48.1</w:t>
            </w:r>
          </w:p>
        </w:tc>
        <w:tc>
          <w:tcPr>
            <w:tcW w:w="846" w:type="dxa"/>
            <w:vAlign w:val="center"/>
          </w:tcPr>
          <w:p>
            <w:pPr>
              <w:widowControl/>
              <w:jc w:val="center"/>
              <w:rPr>
                <w:color w:val="000000"/>
                <w:kern w:val="0"/>
                <w:szCs w:val="21"/>
              </w:rPr>
            </w:pPr>
            <w:r>
              <w:rPr>
                <w:color w:val="000000"/>
                <w:kern w:val="0"/>
                <w:szCs w:val="21"/>
              </w:rPr>
              <w:t>21.7</w:t>
            </w:r>
          </w:p>
        </w:tc>
        <w:tc>
          <w:tcPr>
            <w:tcW w:w="846" w:type="dxa"/>
            <w:vAlign w:val="center"/>
          </w:tcPr>
          <w:p>
            <w:pPr>
              <w:widowControl/>
              <w:jc w:val="center"/>
              <w:rPr>
                <w:color w:val="000000"/>
                <w:kern w:val="0"/>
                <w:szCs w:val="21"/>
              </w:rPr>
            </w:pPr>
            <w:r>
              <w:rPr>
                <w:color w:val="000000"/>
                <w:kern w:val="0"/>
                <w:szCs w:val="21"/>
              </w:rPr>
              <w:t>4.7</w:t>
            </w:r>
          </w:p>
        </w:tc>
        <w:tc>
          <w:tcPr>
            <w:tcW w:w="1056" w:type="dxa"/>
            <w:vAlign w:val="center"/>
          </w:tcPr>
          <w:p>
            <w:pPr>
              <w:widowControl/>
              <w:jc w:val="center"/>
              <w:rPr>
                <w:color w:val="000000"/>
                <w:kern w:val="0"/>
                <w:szCs w:val="21"/>
              </w:rPr>
            </w:pPr>
            <w:r>
              <w:rPr>
                <w:color w:val="000000"/>
                <w:kern w:val="0"/>
                <w:szCs w:val="21"/>
              </w:rPr>
              <w:t>0.8</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注：得分5=很相符，4=相符，3=不好说，2=不相符，1=很不相符</w:t>
      </w:r>
    </w:p>
    <w:p>
      <w:pPr>
        <w:pStyle w:val="37"/>
        <w:ind w:firstLine="0" w:firstLineChars="0"/>
      </w:pPr>
    </w:p>
    <w:bookmarkEnd w:id="152"/>
    <w:bookmarkEnd w:id="153"/>
    <w:p>
      <w:pPr>
        <w:pStyle w:val="44"/>
        <w:spacing w:before="156"/>
      </w:pPr>
      <w:bookmarkStart w:id="155" w:name="_Toc470167404"/>
      <w:r>
        <w:rPr>
          <w:rFonts w:hint="eastAsia"/>
        </w:rPr>
        <w:t>（三）本科生求职过程</w:t>
      </w:r>
      <w:bookmarkEnd w:id="155"/>
    </w:p>
    <w:p>
      <w:pPr>
        <w:pStyle w:val="67"/>
      </w:pPr>
      <w:bookmarkStart w:id="156" w:name="_Toc470167405"/>
      <w:r>
        <w:rPr>
          <w:rFonts w:hint="eastAsia"/>
        </w:rPr>
        <w:t>1、求职积极程度</w:t>
      </w:r>
      <w:bookmarkEnd w:id="156"/>
    </w:p>
    <w:p>
      <w:pPr>
        <w:pStyle w:val="70"/>
      </w:pPr>
      <w:bookmarkStart w:id="157" w:name="PO_3331"/>
      <w:bookmarkEnd w:id="157"/>
      <w:r>
        <w:rPr>
          <w:rFonts w:hint="eastAsia"/>
        </w:rPr>
        <w:t>（1）总体情况</w:t>
      </w:r>
    </w:p>
    <w:p>
      <w:pPr>
        <w:pStyle w:val="37"/>
        <w:ind w:firstLine="480"/>
      </w:pPr>
      <w:r>
        <w:rPr>
          <w:rFonts w:hint="eastAsia"/>
        </w:rPr>
        <w:t>对于求职过程中自己的积极程度评价，83.7%的本科生表示“很积极”或“积极”，10.9%认为“不好说”，5.5%则表示“不积极”或“很不积极”。</w:t>
      </w:r>
    </w:p>
    <w:p>
      <w:pPr>
        <w:jc w:val="center"/>
      </w:pPr>
      <w:r>
        <w:rPr>
          <w:rFonts w:hint="eastAsia"/>
        </w:rPr>
        <w:drawing>
          <wp:inline distT="0" distB="0" distL="0" distR="0">
            <wp:extent cx="6076950" cy="3077210"/>
            <wp:effectExtent l="19050" t="0" r="19050" b="8890"/>
            <wp:docPr id="4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59"/>
        <w:spacing w:before="156" w:after="312"/>
      </w:pPr>
      <w:r>
        <w:rPr>
          <w:rFonts w:hint="eastAsia"/>
        </w:rPr>
        <w:t>本科生求职积极程度</w:t>
      </w:r>
    </w:p>
    <w:p>
      <w:pPr>
        <w:pStyle w:val="70"/>
      </w:pPr>
      <w:r>
        <w:rPr>
          <w:rFonts w:hint="eastAsia"/>
        </w:rPr>
        <w:t>（2）不同专业本科生求职积极程度</w:t>
      </w:r>
    </w:p>
    <w:p>
      <w:pPr>
        <w:pStyle w:val="37"/>
        <w:ind w:firstLine="480"/>
      </w:pPr>
      <w:r>
        <w:rPr>
          <w:rFonts w:hint="eastAsia"/>
        </w:rPr>
        <w:t>就专业而言，方差检验显示，不同专业的本科生对求职积极程度的评价不存在显著性差异（F=1.01，p&gt;0.05）。</w:t>
      </w:r>
    </w:p>
    <w:p>
      <w:pPr>
        <w:jc w:val="center"/>
      </w:pPr>
      <w:r>
        <w:rPr>
          <w:rFonts w:hint="eastAsia"/>
        </w:rPr>
        <w:drawing>
          <wp:inline distT="0" distB="0" distL="0" distR="0">
            <wp:extent cx="6124575" cy="3077210"/>
            <wp:effectExtent l="19050" t="0" r="9525" b="8890"/>
            <wp:docPr id="4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59"/>
        <w:spacing w:before="156" w:after="312"/>
      </w:pPr>
      <w:r>
        <w:rPr>
          <w:rFonts w:hint="eastAsia"/>
        </w:rPr>
        <w:t>不同专业本科生求职积极程度</w:t>
      </w:r>
    </w:p>
    <w:p>
      <w:pPr>
        <w:pStyle w:val="53"/>
        <w:spacing w:before="312" w:after="156"/>
      </w:pPr>
      <w:r>
        <w:rPr>
          <w:rFonts w:hint="eastAsia"/>
        </w:rPr>
        <w:t>本科生求职积极程度</w:t>
      </w:r>
    </w:p>
    <w:tbl>
      <w:tblPr>
        <w:tblStyle w:val="33"/>
        <w:tblW w:w="926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6"/>
        <w:gridCol w:w="636"/>
        <w:gridCol w:w="846"/>
        <w:gridCol w:w="846"/>
        <w:gridCol w:w="695"/>
        <w:gridCol w:w="846"/>
        <w:gridCol w:w="84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4289"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26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536"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很积极</w:t>
            </w:r>
          </w:p>
        </w:tc>
        <w:tc>
          <w:tcPr>
            <w:tcW w:w="69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积极</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不积极</w:t>
            </w:r>
          </w:p>
        </w:tc>
        <w:tc>
          <w:tcPr>
            <w:tcW w:w="105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很不积极</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536" w:type="dxa"/>
            <w:shd w:val="clear" w:color="auto" w:fill="auto"/>
            <w:vAlign w:val="center"/>
          </w:tcPr>
          <w:p>
            <w:pPr>
              <w:widowControl/>
              <w:jc w:val="center"/>
              <w:rPr>
                <w:color w:val="000000"/>
                <w:kern w:val="0"/>
                <w:szCs w:val="21"/>
              </w:rPr>
            </w:pPr>
            <w:r>
              <w:rPr>
                <w:color w:val="000000"/>
                <w:kern w:val="0"/>
                <w:szCs w:val="21"/>
              </w:rPr>
              <w:t>34</w:t>
            </w:r>
          </w:p>
        </w:tc>
        <w:tc>
          <w:tcPr>
            <w:tcW w:w="636" w:type="dxa"/>
            <w:shd w:val="clear" w:color="auto" w:fill="auto"/>
            <w:vAlign w:val="center"/>
          </w:tcPr>
          <w:p>
            <w:pPr>
              <w:widowControl/>
              <w:jc w:val="center"/>
              <w:rPr>
                <w:color w:val="000000"/>
                <w:kern w:val="0"/>
                <w:szCs w:val="21"/>
              </w:rPr>
            </w:pPr>
            <w:r>
              <w:rPr>
                <w:color w:val="000000"/>
                <w:kern w:val="0"/>
                <w:szCs w:val="21"/>
              </w:rPr>
              <w:t>4.35</w:t>
            </w:r>
          </w:p>
        </w:tc>
        <w:tc>
          <w:tcPr>
            <w:tcW w:w="846" w:type="dxa"/>
            <w:shd w:val="clear" w:color="auto" w:fill="auto"/>
            <w:vAlign w:val="center"/>
          </w:tcPr>
          <w:p>
            <w:pPr>
              <w:widowControl/>
              <w:jc w:val="center"/>
              <w:rPr>
                <w:color w:val="000000"/>
                <w:kern w:val="0"/>
                <w:szCs w:val="21"/>
              </w:rPr>
            </w:pPr>
            <w:r>
              <w:rPr>
                <w:color w:val="000000"/>
                <w:kern w:val="0"/>
                <w:szCs w:val="21"/>
              </w:rPr>
              <w:t>0.77</w:t>
            </w:r>
          </w:p>
        </w:tc>
        <w:tc>
          <w:tcPr>
            <w:tcW w:w="846" w:type="dxa"/>
            <w:vAlign w:val="center"/>
          </w:tcPr>
          <w:p>
            <w:pPr>
              <w:widowControl/>
              <w:jc w:val="center"/>
              <w:rPr>
                <w:color w:val="000000"/>
                <w:kern w:val="0"/>
                <w:szCs w:val="21"/>
              </w:rPr>
            </w:pPr>
            <w:r>
              <w:rPr>
                <w:color w:val="000000"/>
                <w:kern w:val="0"/>
                <w:szCs w:val="21"/>
              </w:rPr>
              <w:t>50.0</w:t>
            </w:r>
          </w:p>
        </w:tc>
        <w:tc>
          <w:tcPr>
            <w:tcW w:w="695" w:type="dxa"/>
            <w:vAlign w:val="center"/>
          </w:tcPr>
          <w:p>
            <w:pPr>
              <w:widowControl/>
              <w:jc w:val="center"/>
              <w:rPr>
                <w:color w:val="000000"/>
                <w:kern w:val="0"/>
                <w:szCs w:val="21"/>
              </w:rPr>
            </w:pPr>
            <w:r>
              <w:rPr>
                <w:color w:val="000000"/>
                <w:kern w:val="0"/>
                <w:szCs w:val="21"/>
              </w:rPr>
              <w:t>38.2</w:t>
            </w:r>
          </w:p>
        </w:tc>
        <w:tc>
          <w:tcPr>
            <w:tcW w:w="846" w:type="dxa"/>
            <w:vAlign w:val="center"/>
          </w:tcPr>
          <w:p>
            <w:pPr>
              <w:widowControl/>
              <w:jc w:val="center"/>
              <w:rPr>
                <w:color w:val="000000"/>
                <w:kern w:val="0"/>
                <w:szCs w:val="21"/>
              </w:rPr>
            </w:pPr>
            <w:r>
              <w:rPr>
                <w:color w:val="000000"/>
                <w:kern w:val="0"/>
                <w:szCs w:val="21"/>
              </w:rPr>
              <w:t>8.8</w:t>
            </w:r>
          </w:p>
        </w:tc>
        <w:tc>
          <w:tcPr>
            <w:tcW w:w="846" w:type="dxa"/>
            <w:vAlign w:val="center"/>
          </w:tcPr>
          <w:p>
            <w:pPr>
              <w:widowControl/>
              <w:jc w:val="center"/>
              <w:rPr>
                <w:color w:val="000000"/>
                <w:kern w:val="0"/>
                <w:szCs w:val="21"/>
              </w:rPr>
            </w:pPr>
            <w:r>
              <w:rPr>
                <w:color w:val="000000"/>
                <w:kern w:val="0"/>
                <w:szCs w:val="21"/>
              </w:rPr>
              <w:t>2.9</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F=1.01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4.15</w:t>
            </w:r>
          </w:p>
        </w:tc>
        <w:tc>
          <w:tcPr>
            <w:tcW w:w="846" w:type="dxa"/>
            <w:shd w:val="clear" w:color="auto" w:fill="auto"/>
            <w:vAlign w:val="center"/>
          </w:tcPr>
          <w:p>
            <w:pPr>
              <w:widowControl/>
              <w:jc w:val="center"/>
              <w:rPr>
                <w:color w:val="000000"/>
                <w:kern w:val="0"/>
                <w:szCs w:val="21"/>
              </w:rPr>
            </w:pPr>
            <w:r>
              <w:rPr>
                <w:color w:val="000000"/>
                <w:kern w:val="0"/>
                <w:szCs w:val="21"/>
              </w:rPr>
              <w:t>0.90</w:t>
            </w:r>
          </w:p>
        </w:tc>
        <w:tc>
          <w:tcPr>
            <w:tcW w:w="846" w:type="dxa"/>
            <w:vAlign w:val="center"/>
          </w:tcPr>
          <w:p>
            <w:pPr>
              <w:widowControl/>
              <w:jc w:val="center"/>
              <w:rPr>
                <w:color w:val="000000"/>
                <w:kern w:val="0"/>
                <w:szCs w:val="21"/>
              </w:rPr>
            </w:pPr>
            <w:r>
              <w:rPr>
                <w:color w:val="000000"/>
                <w:kern w:val="0"/>
                <w:szCs w:val="21"/>
              </w:rPr>
              <w:t>38.5</w:t>
            </w:r>
          </w:p>
        </w:tc>
        <w:tc>
          <w:tcPr>
            <w:tcW w:w="695" w:type="dxa"/>
            <w:vAlign w:val="center"/>
          </w:tcPr>
          <w:p>
            <w:pPr>
              <w:widowControl/>
              <w:jc w:val="center"/>
              <w:rPr>
                <w:color w:val="000000"/>
                <w:kern w:val="0"/>
                <w:szCs w:val="21"/>
              </w:rPr>
            </w:pPr>
            <w:r>
              <w:rPr>
                <w:color w:val="000000"/>
                <w:kern w:val="0"/>
                <w:szCs w:val="21"/>
              </w:rPr>
              <w:t>46.2</w:t>
            </w:r>
          </w:p>
        </w:tc>
        <w:tc>
          <w:tcPr>
            <w:tcW w:w="846" w:type="dxa"/>
            <w:vAlign w:val="center"/>
          </w:tcPr>
          <w:p>
            <w:pPr>
              <w:widowControl/>
              <w:jc w:val="center"/>
              <w:rPr>
                <w:color w:val="000000"/>
                <w:kern w:val="0"/>
                <w:szCs w:val="21"/>
              </w:rPr>
            </w:pPr>
            <w:r>
              <w:rPr>
                <w:color w:val="000000"/>
                <w:kern w:val="0"/>
                <w:szCs w:val="21"/>
              </w:rPr>
              <w:t>7.7</w:t>
            </w:r>
          </w:p>
        </w:tc>
        <w:tc>
          <w:tcPr>
            <w:tcW w:w="846" w:type="dxa"/>
            <w:vAlign w:val="center"/>
          </w:tcPr>
          <w:p>
            <w:pPr>
              <w:widowControl/>
              <w:jc w:val="center"/>
              <w:rPr>
                <w:color w:val="000000"/>
                <w:kern w:val="0"/>
                <w:szCs w:val="21"/>
              </w:rPr>
            </w:pPr>
            <w:r>
              <w:rPr>
                <w:color w:val="000000"/>
                <w:kern w:val="0"/>
                <w:szCs w:val="21"/>
              </w:rPr>
              <w:t>7.7</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3.25</w:t>
            </w:r>
          </w:p>
        </w:tc>
        <w:tc>
          <w:tcPr>
            <w:tcW w:w="846" w:type="dxa"/>
            <w:shd w:val="clear" w:color="auto" w:fill="auto"/>
            <w:vAlign w:val="center"/>
          </w:tcPr>
          <w:p>
            <w:pPr>
              <w:widowControl/>
              <w:jc w:val="center"/>
              <w:rPr>
                <w:color w:val="000000"/>
                <w:kern w:val="0"/>
                <w:szCs w:val="21"/>
              </w:rPr>
            </w:pPr>
            <w:r>
              <w:rPr>
                <w:color w:val="000000"/>
                <w:kern w:val="0"/>
                <w:szCs w:val="21"/>
              </w:rPr>
              <w:t>1.50</w:t>
            </w:r>
          </w:p>
        </w:tc>
        <w:tc>
          <w:tcPr>
            <w:tcW w:w="846" w:type="dxa"/>
            <w:vAlign w:val="center"/>
          </w:tcPr>
          <w:p>
            <w:pPr>
              <w:widowControl/>
              <w:jc w:val="center"/>
              <w:rPr>
                <w:color w:val="000000"/>
                <w:kern w:val="0"/>
                <w:szCs w:val="21"/>
              </w:rPr>
            </w:pPr>
            <w:r>
              <w:rPr>
                <w:color w:val="000000"/>
                <w:kern w:val="0"/>
                <w:szCs w:val="21"/>
              </w:rPr>
              <w:t>25.0</w:t>
            </w:r>
          </w:p>
        </w:tc>
        <w:tc>
          <w:tcPr>
            <w:tcW w:w="695"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50.0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3.67</w:t>
            </w:r>
          </w:p>
        </w:tc>
        <w:tc>
          <w:tcPr>
            <w:tcW w:w="846" w:type="dxa"/>
            <w:shd w:val="clear" w:color="auto" w:fill="auto"/>
            <w:vAlign w:val="center"/>
          </w:tcPr>
          <w:p>
            <w:pPr>
              <w:widowControl/>
              <w:jc w:val="center"/>
              <w:rPr>
                <w:color w:val="000000"/>
                <w:kern w:val="0"/>
                <w:szCs w:val="21"/>
              </w:rPr>
            </w:pPr>
            <w:r>
              <w:rPr>
                <w:color w:val="000000"/>
                <w:kern w:val="0"/>
                <w:szCs w:val="21"/>
              </w:rPr>
              <w:t>1.15</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66.7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1.00</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536" w:type="dxa"/>
            <w:shd w:val="clear" w:color="auto" w:fill="auto"/>
            <w:vAlign w:val="center"/>
          </w:tcPr>
          <w:p>
            <w:pPr>
              <w:widowControl/>
              <w:jc w:val="center"/>
              <w:rPr>
                <w:color w:val="000000"/>
                <w:kern w:val="0"/>
                <w:szCs w:val="21"/>
              </w:rPr>
            </w:pPr>
            <w:r>
              <w:rPr>
                <w:color w:val="000000"/>
                <w:kern w:val="0"/>
                <w:szCs w:val="21"/>
              </w:rPr>
              <w:t>4</w:t>
            </w:r>
          </w:p>
        </w:tc>
        <w:tc>
          <w:tcPr>
            <w:tcW w:w="636" w:type="dxa"/>
            <w:shd w:val="clear" w:color="auto" w:fill="auto"/>
            <w:vAlign w:val="center"/>
          </w:tcPr>
          <w:p>
            <w:pPr>
              <w:widowControl/>
              <w:jc w:val="center"/>
              <w:rPr>
                <w:color w:val="000000"/>
                <w:kern w:val="0"/>
                <w:szCs w:val="21"/>
              </w:rPr>
            </w:pPr>
            <w:r>
              <w:rPr>
                <w:color w:val="000000"/>
                <w:kern w:val="0"/>
                <w:szCs w:val="21"/>
              </w:rPr>
              <w:t>3.75</w:t>
            </w:r>
          </w:p>
        </w:tc>
        <w:tc>
          <w:tcPr>
            <w:tcW w:w="846" w:type="dxa"/>
            <w:shd w:val="clear" w:color="auto" w:fill="auto"/>
            <w:vAlign w:val="center"/>
          </w:tcPr>
          <w:p>
            <w:pPr>
              <w:widowControl/>
              <w:jc w:val="center"/>
              <w:rPr>
                <w:color w:val="000000"/>
                <w:kern w:val="0"/>
                <w:szCs w:val="21"/>
              </w:rPr>
            </w:pPr>
            <w:r>
              <w:rPr>
                <w:color w:val="000000"/>
                <w:kern w:val="0"/>
                <w:szCs w:val="21"/>
              </w:rPr>
              <w:t>1.50</w:t>
            </w:r>
          </w:p>
        </w:tc>
        <w:tc>
          <w:tcPr>
            <w:tcW w:w="846" w:type="dxa"/>
            <w:vAlign w:val="center"/>
          </w:tcPr>
          <w:p>
            <w:pPr>
              <w:widowControl/>
              <w:jc w:val="center"/>
              <w:rPr>
                <w:color w:val="000000"/>
                <w:kern w:val="0"/>
                <w:szCs w:val="21"/>
              </w:rPr>
            </w:pPr>
            <w:r>
              <w:rPr>
                <w:color w:val="000000"/>
                <w:kern w:val="0"/>
                <w:szCs w:val="21"/>
              </w:rPr>
              <w:t>50.0</w:t>
            </w:r>
          </w:p>
        </w:tc>
        <w:tc>
          <w:tcPr>
            <w:tcW w:w="695"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25.0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536" w:type="dxa"/>
            <w:shd w:val="clear" w:color="auto" w:fill="auto"/>
            <w:vAlign w:val="center"/>
          </w:tcPr>
          <w:p>
            <w:pPr>
              <w:widowControl/>
              <w:jc w:val="center"/>
              <w:rPr>
                <w:color w:val="000000"/>
                <w:kern w:val="0"/>
                <w:szCs w:val="21"/>
              </w:rPr>
            </w:pPr>
            <w:r>
              <w:rPr>
                <w:color w:val="000000"/>
                <w:kern w:val="0"/>
                <w:szCs w:val="21"/>
              </w:rPr>
              <w:t>3</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536" w:type="dxa"/>
            <w:shd w:val="clear" w:color="auto" w:fill="auto"/>
            <w:vAlign w:val="center"/>
          </w:tcPr>
          <w:p>
            <w:pPr>
              <w:widowControl/>
              <w:jc w:val="center"/>
              <w:rPr>
                <w:color w:val="000000"/>
                <w:kern w:val="0"/>
                <w:szCs w:val="21"/>
              </w:rPr>
            </w:pPr>
            <w:r>
              <w:rPr>
                <w:color w:val="000000"/>
                <w:kern w:val="0"/>
                <w:szCs w:val="21"/>
              </w:rPr>
              <w:t>7</w:t>
            </w:r>
          </w:p>
        </w:tc>
        <w:tc>
          <w:tcPr>
            <w:tcW w:w="636" w:type="dxa"/>
            <w:shd w:val="clear" w:color="auto" w:fill="auto"/>
            <w:vAlign w:val="center"/>
          </w:tcPr>
          <w:p>
            <w:pPr>
              <w:widowControl/>
              <w:jc w:val="center"/>
              <w:rPr>
                <w:color w:val="000000"/>
                <w:kern w:val="0"/>
                <w:szCs w:val="21"/>
              </w:rPr>
            </w:pPr>
            <w:r>
              <w:rPr>
                <w:color w:val="000000"/>
                <w:kern w:val="0"/>
                <w:szCs w:val="21"/>
              </w:rPr>
              <w:t>4.29</w:t>
            </w:r>
          </w:p>
        </w:tc>
        <w:tc>
          <w:tcPr>
            <w:tcW w:w="846" w:type="dxa"/>
            <w:shd w:val="clear" w:color="auto" w:fill="auto"/>
            <w:vAlign w:val="center"/>
          </w:tcPr>
          <w:p>
            <w:pPr>
              <w:widowControl/>
              <w:jc w:val="center"/>
              <w:rPr>
                <w:color w:val="000000"/>
                <w:kern w:val="0"/>
                <w:szCs w:val="21"/>
              </w:rPr>
            </w:pPr>
            <w:r>
              <w:rPr>
                <w:color w:val="000000"/>
                <w:kern w:val="0"/>
                <w:szCs w:val="21"/>
              </w:rPr>
              <w:t>0.49</w:t>
            </w:r>
          </w:p>
        </w:tc>
        <w:tc>
          <w:tcPr>
            <w:tcW w:w="846" w:type="dxa"/>
            <w:vAlign w:val="center"/>
          </w:tcPr>
          <w:p>
            <w:pPr>
              <w:widowControl/>
              <w:jc w:val="center"/>
              <w:rPr>
                <w:color w:val="000000"/>
                <w:kern w:val="0"/>
                <w:szCs w:val="21"/>
              </w:rPr>
            </w:pPr>
            <w:r>
              <w:rPr>
                <w:color w:val="000000"/>
                <w:kern w:val="0"/>
                <w:szCs w:val="21"/>
              </w:rPr>
              <w:t>28.6</w:t>
            </w:r>
          </w:p>
        </w:tc>
        <w:tc>
          <w:tcPr>
            <w:tcW w:w="695" w:type="dxa"/>
            <w:vAlign w:val="center"/>
          </w:tcPr>
          <w:p>
            <w:pPr>
              <w:widowControl/>
              <w:jc w:val="center"/>
              <w:rPr>
                <w:color w:val="000000"/>
                <w:kern w:val="0"/>
                <w:szCs w:val="21"/>
              </w:rPr>
            </w:pPr>
            <w:r>
              <w:rPr>
                <w:color w:val="000000"/>
                <w:kern w:val="0"/>
                <w:szCs w:val="21"/>
              </w:rPr>
              <w:t>71.4</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536" w:type="dxa"/>
            <w:shd w:val="clear" w:color="auto" w:fill="auto"/>
            <w:vAlign w:val="center"/>
          </w:tcPr>
          <w:p>
            <w:pPr>
              <w:widowControl/>
              <w:jc w:val="center"/>
              <w:rPr>
                <w:color w:val="000000"/>
                <w:kern w:val="0"/>
                <w:szCs w:val="21"/>
              </w:rPr>
            </w:pPr>
            <w:r>
              <w:rPr>
                <w:color w:val="000000"/>
                <w:kern w:val="0"/>
                <w:szCs w:val="21"/>
              </w:rPr>
              <w:t>1</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0.0</w:t>
            </w:r>
          </w:p>
        </w:tc>
        <w:tc>
          <w:tcPr>
            <w:tcW w:w="695" w:type="dxa"/>
            <w:vAlign w:val="center"/>
          </w:tcPr>
          <w:p>
            <w:pPr>
              <w:widowControl/>
              <w:jc w:val="center"/>
              <w:rPr>
                <w:color w:val="000000"/>
                <w:kern w:val="0"/>
                <w:szCs w:val="21"/>
              </w:rPr>
            </w:pPr>
            <w:r>
              <w:rPr>
                <w:color w:val="000000"/>
                <w:kern w:val="0"/>
                <w:szCs w:val="21"/>
              </w:rPr>
              <w:t>100.0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536" w:type="dxa"/>
            <w:shd w:val="clear" w:color="auto" w:fill="auto"/>
            <w:vAlign w:val="center"/>
          </w:tcPr>
          <w:p>
            <w:pPr>
              <w:widowControl/>
              <w:jc w:val="center"/>
              <w:rPr>
                <w:color w:val="000000"/>
                <w:kern w:val="0"/>
                <w:szCs w:val="21"/>
              </w:rPr>
            </w:pPr>
            <w:r>
              <w:rPr>
                <w:color w:val="000000"/>
                <w:kern w:val="0"/>
                <w:szCs w:val="21"/>
              </w:rPr>
              <w:t>10</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0.92</w:t>
            </w:r>
          </w:p>
        </w:tc>
        <w:tc>
          <w:tcPr>
            <w:tcW w:w="846" w:type="dxa"/>
            <w:vAlign w:val="center"/>
          </w:tcPr>
          <w:p>
            <w:pPr>
              <w:widowControl/>
              <w:jc w:val="center"/>
              <w:rPr>
                <w:color w:val="000000"/>
                <w:kern w:val="0"/>
                <w:szCs w:val="21"/>
              </w:rPr>
            </w:pPr>
            <w:r>
              <w:rPr>
                <w:color w:val="000000"/>
                <w:kern w:val="0"/>
                <w:szCs w:val="21"/>
              </w:rPr>
              <w:t>20.0</w:t>
            </w:r>
          </w:p>
        </w:tc>
        <w:tc>
          <w:tcPr>
            <w:tcW w:w="695"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10.0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536" w:type="dxa"/>
            <w:shd w:val="clear" w:color="auto" w:fill="auto"/>
            <w:vAlign w:val="center"/>
          </w:tcPr>
          <w:p>
            <w:pPr>
              <w:widowControl/>
              <w:jc w:val="center"/>
              <w:rPr>
                <w:color w:val="000000"/>
                <w:kern w:val="0"/>
                <w:szCs w:val="21"/>
              </w:rPr>
            </w:pPr>
            <w:r>
              <w:rPr>
                <w:color w:val="000000"/>
                <w:kern w:val="0"/>
                <w:szCs w:val="21"/>
              </w:rPr>
              <w:t>12</w:t>
            </w:r>
          </w:p>
        </w:tc>
        <w:tc>
          <w:tcPr>
            <w:tcW w:w="636" w:type="dxa"/>
            <w:shd w:val="clear" w:color="auto" w:fill="auto"/>
            <w:vAlign w:val="center"/>
          </w:tcPr>
          <w:p>
            <w:pPr>
              <w:widowControl/>
              <w:jc w:val="center"/>
              <w:rPr>
                <w:color w:val="000000"/>
                <w:kern w:val="0"/>
                <w:szCs w:val="21"/>
              </w:rPr>
            </w:pPr>
            <w:r>
              <w:rPr>
                <w:color w:val="000000"/>
                <w:kern w:val="0"/>
                <w:szCs w:val="21"/>
              </w:rPr>
              <w:t>4.08</w:t>
            </w:r>
          </w:p>
        </w:tc>
        <w:tc>
          <w:tcPr>
            <w:tcW w:w="846" w:type="dxa"/>
            <w:shd w:val="clear" w:color="auto" w:fill="auto"/>
            <w:vAlign w:val="center"/>
          </w:tcPr>
          <w:p>
            <w:pPr>
              <w:widowControl/>
              <w:jc w:val="center"/>
              <w:rPr>
                <w:color w:val="000000"/>
                <w:kern w:val="0"/>
                <w:szCs w:val="21"/>
              </w:rPr>
            </w:pPr>
            <w:r>
              <w:rPr>
                <w:color w:val="000000"/>
                <w:kern w:val="0"/>
                <w:szCs w:val="21"/>
              </w:rPr>
              <w:t>1.08</w:t>
            </w:r>
          </w:p>
        </w:tc>
        <w:tc>
          <w:tcPr>
            <w:tcW w:w="846" w:type="dxa"/>
            <w:vAlign w:val="center"/>
          </w:tcPr>
          <w:p>
            <w:pPr>
              <w:widowControl/>
              <w:jc w:val="center"/>
              <w:rPr>
                <w:color w:val="000000"/>
                <w:kern w:val="0"/>
                <w:szCs w:val="21"/>
              </w:rPr>
            </w:pPr>
            <w:r>
              <w:rPr>
                <w:color w:val="000000"/>
                <w:kern w:val="0"/>
                <w:szCs w:val="21"/>
              </w:rPr>
              <w:t>33.3</w:t>
            </w:r>
          </w:p>
        </w:tc>
        <w:tc>
          <w:tcPr>
            <w:tcW w:w="695" w:type="dxa"/>
            <w:vAlign w:val="center"/>
          </w:tcPr>
          <w:p>
            <w:pPr>
              <w:widowControl/>
              <w:jc w:val="center"/>
              <w:rPr>
                <w:color w:val="000000"/>
                <w:kern w:val="0"/>
                <w:szCs w:val="21"/>
              </w:rPr>
            </w:pPr>
            <w:r>
              <w:rPr>
                <w:color w:val="000000"/>
                <w:kern w:val="0"/>
                <w:szCs w:val="21"/>
              </w:rPr>
              <w:t>58.3</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8.3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536" w:type="dxa"/>
            <w:shd w:val="clear" w:color="auto" w:fill="auto"/>
            <w:vAlign w:val="center"/>
          </w:tcPr>
          <w:p>
            <w:pPr>
              <w:widowControl/>
              <w:jc w:val="center"/>
              <w:rPr>
                <w:color w:val="000000"/>
                <w:kern w:val="0"/>
                <w:szCs w:val="21"/>
              </w:rPr>
            </w:pPr>
            <w:r>
              <w:rPr>
                <w:color w:val="000000"/>
                <w:kern w:val="0"/>
                <w:szCs w:val="21"/>
              </w:rPr>
              <w:t>13</w:t>
            </w:r>
          </w:p>
        </w:tc>
        <w:tc>
          <w:tcPr>
            <w:tcW w:w="636" w:type="dxa"/>
            <w:shd w:val="clear" w:color="auto" w:fill="auto"/>
            <w:vAlign w:val="center"/>
          </w:tcPr>
          <w:p>
            <w:pPr>
              <w:widowControl/>
              <w:jc w:val="center"/>
              <w:rPr>
                <w:color w:val="000000"/>
                <w:kern w:val="0"/>
                <w:szCs w:val="21"/>
              </w:rPr>
            </w:pPr>
            <w:r>
              <w:rPr>
                <w:color w:val="000000"/>
                <w:kern w:val="0"/>
                <w:szCs w:val="21"/>
              </w:rPr>
              <w:t>4.31</w:t>
            </w:r>
          </w:p>
        </w:tc>
        <w:tc>
          <w:tcPr>
            <w:tcW w:w="846" w:type="dxa"/>
            <w:shd w:val="clear" w:color="auto" w:fill="auto"/>
            <w:vAlign w:val="center"/>
          </w:tcPr>
          <w:p>
            <w:pPr>
              <w:widowControl/>
              <w:jc w:val="center"/>
              <w:rPr>
                <w:color w:val="000000"/>
                <w:kern w:val="0"/>
                <w:szCs w:val="21"/>
              </w:rPr>
            </w:pPr>
            <w:r>
              <w:rPr>
                <w:color w:val="000000"/>
                <w:kern w:val="0"/>
                <w:szCs w:val="21"/>
              </w:rPr>
              <w:t>0.63</w:t>
            </w:r>
          </w:p>
        </w:tc>
        <w:tc>
          <w:tcPr>
            <w:tcW w:w="846" w:type="dxa"/>
            <w:vAlign w:val="center"/>
          </w:tcPr>
          <w:p>
            <w:pPr>
              <w:widowControl/>
              <w:jc w:val="center"/>
              <w:rPr>
                <w:color w:val="000000"/>
                <w:kern w:val="0"/>
                <w:szCs w:val="21"/>
              </w:rPr>
            </w:pPr>
            <w:r>
              <w:rPr>
                <w:color w:val="000000"/>
                <w:kern w:val="0"/>
                <w:szCs w:val="21"/>
              </w:rPr>
              <w:t>38.5</w:t>
            </w:r>
          </w:p>
        </w:tc>
        <w:tc>
          <w:tcPr>
            <w:tcW w:w="695" w:type="dxa"/>
            <w:vAlign w:val="center"/>
          </w:tcPr>
          <w:p>
            <w:pPr>
              <w:widowControl/>
              <w:jc w:val="center"/>
              <w:rPr>
                <w:color w:val="000000"/>
                <w:kern w:val="0"/>
                <w:szCs w:val="21"/>
              </w:rPr>
            </w:pPr>
            <w:r>
              <w:rPr>
                <w:color w:val="000000"/>
                <w:kern w:val="0"/>
                <w:szCs w:val="21"/>
              </w:rPr>
              <w:t>53.8</w:t>
            </w:r>
          </w:p>
        </w:tc>
        <w:tc>
          <w:tcPr>
            <w:tcW w:w="846" w:type="dxa"/>
            <w:vAlign w:val="center"/>
          </w:tcPr>
          <w:p>
            <w:pPr>
              <w:widowControl/>
              <w:jc w:val="center"/>
              <w:rPr>
                <w:color w:val="000000"/>
                <w:kern w:val="0"/>
                <w:szCs w:val="21"/>
              </w:rPr>
            </w:pPr>
            <w:r>
              <w:rPr>
                <w:color w:val="000000"/>
                <w:kern w:val="0"/>
                <w:szCs w:val="21"/>
              </w:rPr>
              <w:t>7.7</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536" w:type="dxa"/>
            <w:shd w:val="clear" w:color="auto" w:fill="auto"/>
            <w:vAlign w:val="center"/>
          </w:tcPr>
          <w:p>
            <w:pPr>
              <w:widowControl/>
              <w:jc w:val="center"/>
              <w:rPr>
                <w:color w:val="000000"/>
                <w:kern w:val="0"/>
                <w:szCs w:val="21"/>
              </w:rPr>
            </w:pPr>
            <w:r>
              <w:rPr>
                <w:color w:val="000000"/>
                <w:kern w:val="0"/>
                <w:szCs w:val="21"/>
              </w:rPr>
              <w:t>8</w:t>
            </w:r>
          </w:p>
        </w:tc>
        <w:tc>
          <w:tcPr>
            <w:tcW w:w="636" w:type="dxa"/>
            <w:shd w:val="clear" w:color="auto" w:fill="auto"/>
            <w:vAlign w:val="center"/>
          </w:tcPr>
          <w:p>
            <w:pPr>
              <w:widowControl/>
              <w:jc w:val="center"/>
              <w:rPr>
                <w:color w:val="000000"/>
                <w:kern w:val="0"/>
                <w:szCs w:val="21"/>
              </w:rPr>
            </w:pPr>
            <w:r>
              <w:rPr>
                <w:color w:val="000000"/>
                <w:kern w:val="0"/>
                <w:szCs w:val="21"/>
              </w:rPr>
              <w:t>4.63</w:t>
            </w:r>
          </w:p>
        </w:tc>
        <w:tc>
          <w:tcPr>
            <w:tcW w:w="846" w:type="dxa"/>
            <w:shd w:val="clear" w:color="auto" w:fill="auto"/>
            <w:vAlign w:val="center"/>
          </w:tcPr>
          <w:p>
            <w:pPr>
              <w:widowControl/>
              <w:jc w:val="center"/>
              <w:rPr>
                <w:color w:val="000000"/>
                <w:kern w:val="0"/>
                <w:szCs w:val="21"/>
              </w:rPr>
            </w:pPr>
            <w:r>
              <w:rPr>
                <w:color w:val="000000"/>
                <w:kern w:val="0"/>
                <w:szCs w:val="21"/>
              </w:rPr>
              <w:t>0.52</w:t>
            </w:r>
          </w:p>
        </w:tc>
        <w:tc>
          <w:tcPr>
            <w:tcW w:w="846" w:type="dxa"/>
            <w:vAlign w:val="center"/>
          </w:tcPr>
          <w:p>
            <w:pPr>
              <w:widowControl/>
              <w:jc w:val="center"/>
              <w:rPr>
                <w:color w:val="000000"/>
                <w:kern w:val="0"/>
                <w:szCs w:val="21"/>
              </w:rPr>
            </w:pPr>
            <w:r>
              <w:rPr>
                <w:color w:val="000000"/>
                <w:kern w:val="0"/>
                <w:szCs w:val="21"/>
              </w:rPr>
              <w:t>62.5</w:t>
            </w:r>
          </w:p>
        </w:tc>
        <w:tc>
          <w:tcPr>
            <w:tcW w:w="695" w:type="dxa"/>
            <w:vAlign w:val="center"/>
          </w:tcPr>
          <w:p>
            <w:pPr>
              <w:widowControl/>
              <w:jc w:val="center"/>
              <w:rPr>
                <w:color w:val="000000"/>
                <w:kern w:val="0"/>
                <w:szCs w:val="21"/>
              </w:rPr>
            </w:pPr>
            <w:r>
              <w:rPr>
                <w:color w:val="000000"/>
                <w:kern w:val="0"/>
                <w:szCs w:val="21"/>
              </w:rPr>
              <w:t>37.5</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26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536" w:type="dxa"/>
            <w:shd w:val="clear" w:color="auto" w:fill="auto"/>
            <w:vAlign w:val="center"/>
          </w:tcPr>
          <w:p>
            <w:pPr>
              <w:widowControl/>
              <w:jc w:val="center"/>
              <w:rPr>
                <w:color w:val="000000"/>
                <w:kern w:val="0"/>
                <w:szCs w:val="21"/>
              </w:rPr>
            </w:pPr>
            <w:r>
              <w:rPr>
                <w:color w:val="000000"/>
                <w:kern w:val="0"/>
                <w:szCs w:val="21"/>
              </w:rPr>
              <w:t>14</w:t>
            </w:r>
          </w:p>
        </w:tc>
        <w:tc>
          <w:tcPr>
            <w:tcW w:w="636" w:type="dxa"/>
            <w:shd w:val="clear" w:color="auto" w:fill="auto"/>
            <w:vAlign w:val="center"/>
          </w:tcPr>
          <w:p>
            <w:pPr>
              <w:widowControl/>
              <w:jc w:val="center"/>
              <w:rPr>
                <w:color w:val="000000"/>
                <w:kern w:val="0"/>
                <w:szCs w:val="21"/>
              </w:rPr>
            </w:pPr>
            <w:r>
              <w:rPr>
                <w:color w:val="000000"/>
                <w:kern w:val="0"/>
                <w:szCs w:val="21"/>
              </w:rPr>
              <w:t>4.21</w:t>
            </w:r>
          </w:p>
        </w:tc>
        <w:tc>
          <w:tcPr>
            <w:tcW w:w="846" w:type="dxa"/>
            <w:shd w:val="clear" w:color="auto" w:fill="auto"/>
            <w:vAlign w:val="center"/>
          </w:tcPr>
          <w:p>
            <w:pPr>
              <w:widowControl/>
              <w:jc w:val="center"/>
              <w:rPr>
                <w:color w:val="000000"/>
                <w:kern w:val="0"/>
                <w:szCs w:val="21"/>
              </w:rPr>
            </w:pPr>
            <w:r>
              <w:rPr>
                <w:color w:val="000000"/>
                <w:kern w:val="0"/>
                <w:szCs w:val="21"/>
              </w:rPr>
              <w:t>0.80</w:t>
            </w:r>
          </w:p>
        </w:tc>
        <w:tc>
          <w:tcPr>
            <w:tcW w:w="846" w:type="dxa"/>
            <w:vAlign w:val="center"/>
          </w:tcPr>
          <w:p>
            <w:pPr>
              <w:widowControl/>
              <w:jc w:val="center"/>
              <w:rPr>
                <w:color w:val="000000"/>
                <w:kern w:val="0"/>
                <w:szCs w:val="21"/>
              </w:rPr>
            </w:pPr>
            <w:r>
              <w:rPr>
                <w:color w:val="000000"/>
                <w:kern w:val="0"/>
                <w:szCs w:val="21"/>
              </w:rPr>
              <w:t>42.9</w:t>
            </w:r>
          </w:p>
        </w:tc>
        <w:tc>
          <w:tcPr>
            <w:tcW w:w="695" w:type="dxa"/>
            <w:vAlign w:val="center"/>
          </w:tcPr>
          <w:p>
            <w:pPr>
              <w:widowControl/>
              <w:jc w:val="center"/>
              <w:rPr>
                <w:color w:val="000000"/>
                <w:kern w:val="0"/>
                <w:szCs w:val="21"/>
              </w:rPr>
            </w:pPr>
            <w:r>
              <w:rPr>
                <w:color w:val="000000"/>
                <w:kern w:val="0"/>
                <w:szCs w:val="21"/>
              </w:rPr>
              <w:t>35.7</w:t>
            </w:r>
          </w:p>
        </w:tc>
        <w:tc>
          <w:tcPr>
            <w:tcW w:w="846" w:type="dxa"/>
            <w:vAlign w:val="center"/>
          </w:tcPr>
          <w:p>
            <w:pPr>
              <w:widowControl/>
              <w:jc w:val="center"/>
              <w:rPr>
                <w:color w:val="000000"/>
                <w:kern w:val="0"/>
                <w:szCs w:val="21"/>
              </w:rPr>
            </w:pPr>
            <w:r>
              <w:rPr>
                <w:color w:val="000000"/>
                <w:kern w:val="0"/>
                <w:szCs w:val="21"/>
              </w:rPr>
              <w:t>21.4</w:t>
            </w:r>
          </w:p>
        </w:tc>
        <w:tc>
          <w:tcPr>
            <w:tcW w:w="846" w:type="dxa"/>
            <w:vAlign w:val="center"/>
          </w:tcPr>
          <w:p>
            <w:pPr>
              <w:widowControl/>
              <w:jc w:val="center"/>
              <w:rPr>
                <w:color w:val="000000"/>
                <w:kern w:val="0"/>
                <w:szCs w:val="21"/>
              </w:rPr>
            </w:pPr>
            <w:r>
              <w:rPr>
                <w:color w:val="000000"/>
                <w:kern w:val="0"/>
                <w:szCs w:val="21"/>
              </w:rPr>
              <w:t>0.0</w:t>
            </w:r>
          </w:p>
        </w:tc>
        <w:tc>
          <w:tcPr>
            <w:tcW w:w="105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536" w:type="dxa"/>
            <w:shd w:val="clear" w:color="auto" w:fill="auto"/>
            <w:vAlign w:val="center"/>
          </w:tcPr>
          <w:p>
            <w:pPr>
              <w:widowControl/>
              <w:jc w:val="center"/>
              <w:rPr>
                <w:color w:val="000000"/>
                <w:kern w:val="0"/>
                <w:szCs w:val="21"/>
              </w:rPr>
            </w:pPr>
            <w:r>
              <w:rPr>
                <w:color w:val="000000"/>
                <w:kern w:val="0"/>
                <w:szCs w:val="21"/>
              </w:rPr>
              <w:t>129</w:t>
            </w:r>
          </w:p>
        </w:tc>
        <w:tc>
          <w:tcPr>
            <w:tcW w:w="636" w:type="dxa"/>
            <w:shd w:val="clear" w:color="auto" w:fill="auto"/>
            <w:vAlign w:val="center"/>
          </w:tcPr>
          <w:p>
            <w:pPr>
              <w:widowControl/>
              <w:jc w:val="center"/>
              <w:rPr>
                <w:color w:val="000000"/>
                <w:kern w:val="0"/>
                <w:szCs w:val="21"/>
              </w:rPr>
            </w:pPr>
            <w:r>
              <w:rPr>
                <w:color w:val="000000"/>
                <w:kern w:val="0"/>
                <w:szCs w:val="21"/>
              </w:rPr>
              <w:t>4.17</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846" w:type="dxa"/>
            <w:vAlign w:val="center"/>
          </w:tcPr>
          <w:p>
            <w:pPr>
              <w:widowControl/>
              <w:jc w:val="center"/>
              <w:rPr>
                <w:color w:val="000000"/>
                <w:kern w:val="0"/>
                <w:szCs w:val="21"/>
              </w:rPr>
            </w:pPr>
            <w:r>
              <w:rPr>
                <w:color w:val="000000"/>
                <w:kern w:val="0"/>
                <w:szCs w:val="21"/>
              </w:rPr>
              <w:t>39.5</w:t>
            </w:r>
          </w:p>
        </w:tc>
        <w:tc>
          <w:tcPr>
            <w:tcW w:w="695" w:type="dxa"/>
            <w:vAlign w:val="center"/>
          </w:tcPr>
          <w:p>
            <w:pPr>
              <w:widowControl/>
              <w:jc w:val="center"/>
              <w:rPr>
                <w:color w:val="000000"/>
                <w:kern w:val="0"/>
                <w:szCs w:val="21"/>
              </w:rPr>
            </w:pPr>
            <w:r>
              <w:rPr>
                <w:color w:val="000000"/>
                <w:kern w:val="0"/>
                <w:szCs w:val="21"/>
              </w:rPr>
              <w:t>44.2</w:t>
            </w:r>
          </w:p>
        </w:tc>
        <w:tc>
          <w:tcPr>
            <w:tcW w:w="846" w:type="dxa"/>
            <w:vAlign w:val="center"/>
          </w:tcPr>
          <w:p>
            <w:pPr>
              <w:widowControl/>
              <w:jc w:val="center"/>
              <w:rPr>
                <w:color w:val="000000"/>
                <w:kern w:val="0"/>
                <w:szCs w:val="21"/>
              </w:rPr>
            </w:pPr>
            <w:r>
              <w:rPr>
                <w:color w:val="000000"/>
                <w:kern w:val="0"/>
                <w:szCs w:val="21"/>
              </w:rPr>
              <w:t>10.9</w:t>
            </w:r>
          </w:p>
        </w:tc>
        <w:tc>
          <w:tcPr>
            <w:tcW w:w="846" w:type="dxa"/>
            <w:vAlign w:val="center"/>
          </w:tcPr>
          <w:p>
            <w:pPr>
              <w:widowControl/>
              <w:jc w:val="center"/>
              <w:rPr>
                <w:color w:val="000000"/>
                <w:kern w:val="0"/>
                <w:szCs w:val="21"/>
              </w:rPr>
            </w:pPr>
            <w:r>
              <w:rPr>
                <w:color w:val="000000"/>
                <w:kern w:val="0"/>
                <w:szCs w:val="21"/>
              </w:rPr>
              <w:t>4.7</w:t>
            </w:r>
          </w:p>
        </w:tc>
        <w:tc>
          <w:tcPr>
            <w:tcW w:w="1056" w:type="dxa"/>
            <w:vAlign w:val="center"/>
          </w:tcPr>
          <w:p>
            <w:pPr>
              <w:widowControl/>
              <w:jc w:val="center"/>
              <w:rPr>
                <w:color w:val="000000"/>
                <w:kern w:val="0"/>
                <w:szCs w:val="21"/>
              </w:rPr>
            </w:pPr>
            <w:r>
              <w:rPr>
                <w:color w:val="000000"/>
                <w:kern w:val="0"/>
                <w:szCs w:val="21"/>
              </w:rPr>
              <w:t>0.8</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注：得分5=很积极，4=积极，3=不好说，2=不积极，1=很不积极</w:t>
      </w:r>
    </w:p>
    <w:p>
      <w:pPr>
        <w:pStyle w:val="37"/>
        <w:ind w:firstLine="0" w:firstLineChars="0"/>
      </w:pPr>
    </w:p>
    <w:p>
      <w:pPr>
        <w:pStyle w:val="67"/>
      </w:pPr>
      <w:bookmarkStart w:id="158" w:name="_Toc470167406"/>
      <w:r>
        <w:rPr>
          <w:rFonts w:hint="eastAsia"/>
        </w:rPr>
        <w:t>2、简历投递、面试机会及工作机会</w:t>
      </w:r>
      <w:bookmarkEnd w:id="158"/>
    </w:p>
    <w:p>
      <w:pPr>
        <w:pStyle w:val="70"/>
      </w:pPr>
      <w:bookmarkStart w:id="159" w:name="PO_3332"/>
      <w:bookmarkEnd w:id="159"/>
      <w:r>
        <w:rPr>
          <w:rFonts w:hint="eastAsia"/>
        </w:rPr>
        <w:t>（1）总体情况</w:t>
      </w:r>
    </w:p>
    <w:p>
      <w:pPr>
        <w:pStyle w:val="37"/>
        <w:ind w:firstLine="480"/>
      </w:pPr>
      <w:r>
        <w:rPr>
          <w:rFonts w:hint="eastAsia"/>
        </w:rPr>
        <w:t>调查显示，本科生求职过程中平均投递简历16.93份，平均收到面试邀请6.25份，平均收到录取通知2.90份。</w:t>
      </w:r>
    </w:p>
    <w:p>
      <w:pPr>
        <w:jc w:val="center"/>
      </w:pPr>
      <w:r>
        <w:rPr>
          <w:rFonts w:hint="eastAsia"/>
        </w:rPr>
        <w:drawing>
          <wp:inline distT="0" distB="0" distL="0" distR="0">
            <wp:extent cx="6124575" cy="3077210"/>
            <wp:effectExtent l="19050" t="0" r="9525" b="8890"/>
            <wp:docPr id="4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59"/>
        <w:spacing w:before="156" w:after="312"/>
      </w:pPr>
      <w:r>
        <w:rPr>
          <w:rFonts w:hint="eastAsia"/>
        </w:rPr>
        <w:t>本科生投递简历数、面试邀请数、录用通知数</w:t>
      </w:r>
    </w:p>
    <w:p>
      <w:pPr>
        <w:pStyle w:val="53"/>
        <w:spacing w:before="312" w:after="156"/>
      </w:pPr>
      <w:r>
        <w:rPr>
          <w:rFonts w:hint="eastAsia"/>
        </w:rPr>
        <w:t>本科生投递简历数、面试邀请数、录用通知数</w:t>
      </w:r>
    </w:p>
    <w:tbl>
      <w:tblPr>
        <w:tblStyle w:val="33"/>
        <w:tblW w:w="641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097"/>
        <w:gridCol w:w="1080"/>
        <w:gridCol w:w="1080"/>
        <w:gridCol w:w="1080"/>
        <w:gridCol w:w="1080"/>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097"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rPr>
              <w:t>N</w:t>
            </w:r>
          </w:p>
        </w:tc>
        <w:tc>
          <w:tcPr>
            <w:tcW w:w="1080" w:type="dxa"/>
            <w:shd w:val="clear" w:color="auto" w:fill="auto"/>
            <w:vAlign w:val="center"/>
          </w:tcPr>
          <w:p>
            <w:pPr>
              <w:pStyle w:val="52"/>
              <w:jc w:val="center"/>
              <w:rPr>
                <w:szCs w:val="20"/>
              </w:rPr>
            </w:pPr>
            <w:r>
              <w:rPr>
                <w:rFonts w:hint="eastAsia"/>
              </w:rPr>
              <w:t>均值</w:t>
            </w:r>
          </w:p>
        </w:tc>
        <w:tc>
          <w:tcPr>
            <w:tcW w:w="1080" w:type="dxa"/>
            <w:shd w:val="clear" w:color="auto" w:fill="auto"/>
            <w:vAlign w:val="center"/>
          </w:tcPr>
          <w:p>
            <w:pPr>
              <w:pStyle w:val="52"/>
              <w:jc w:val="center"/>
              <w:rPr>
                <w:szCs w:val="20"/>
              </w:rPr>
            </w:pPr>
            <w:r>
              <w:rPr>
                <w:rFonts w:hint="eastAsia"/>
              </w:rPr>
              <w:t>标准差</w:t>
            </w:r>
          </w:p>
        </w:tc>
        <w:tc>
          <w:tcPr>
            <w:tcW w:w="1080" w:type="dxa"/>
            <w:shd w:val="clear" w:color="auto" w:fill="auto"/>
            <w:vAlign w:val="center"/>
          </w:tcPr>
          <w:p>
            <w:pPr>
              <w:pStyle w:val="52"/>
              <w:jc w:val="center"/>
              <w:rPr>
                <w:szCs w:val="20"/>
              </w:rPr>
            </w:pPr>
            <w:r>
              <w:rPr>
                <w:rFonts w:hint="eastAsia"/>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投递简历</w:t>
            </w:r>
          </w:p>
        </w:tc>
        <w:tc>
          <w:tcPr>
            <w:tcW w:w="1080" w:type="dxa"/>
            <w:shd w:val="clear" w:color="auto" w:fill="auto"/>
            <w:vAlign w:val="center"/>
          </w:tcPr>
          <w:p>
            <w:pPr>
              <w:pStyle w:val="52"/>
              <w:jc w:val="center"/>
            </w:pPr>
            <w:r>
              <w:t>114</w:t>
            </w:r>
          </w:p>
        </w:tc>
        <w:tc>
          <w:tcPr>
            <w:tcW w:w="1080" w:type="dxa"/>
            <w:shd w:val="clear" w:color="auto" w:fill="auto"/>
            <w:vAlign w:val="center"/>
          </w:tcPr>
          <w:p>
            <w:pPr>
              <w:pStyle w:val="52"/>
              <w:jc w:val="center"/>
              <w:rPr>
                <w:szCs w:val="20"/>
              </w:rPr>
            </w:pPr>
            <w:r>
              <w:t>16.93</w:t>
            </w:r>
          </w:p>
        </w:tc>
        <w:tc>
          <w:tcPr>
            <w:tcW w:w="1080" w:type="dxa"/>
            <w:shd w:val="clear" w:color="auto" w:fill="auto"/>
            <w:vAlign w:val="center"/>
          </w:tcPr>
          <w:p>
            <w:pPr>
              <w:pStyle w:val="52"/>
              <w:jc w:val="center"/>
              <w:rPr>
                <w:szCs w:val="20"/>
              </w:rPr>
            </w:pPr>
            <w:r>
              <w:t>35.58</w:t>
            </w:r>
          </w:p>
        </w:tc>
        <w:tc>
          <w:tcPr>
            <w:tcW w:w="1080" w:type="dxa"/>
            <w:shd w:val="clear" w:color="auto" w:fill="auto"/>
            <w:vAlign w:val="center"/>
          </w:tcPr>
          <w:p>
            <w:pPr>
              <w:pStyle w:val="52"/>
              <w:jc w:val="center"/>
              <w:rPr>
                <w:szCs w:val="20"/>
              </w:rPr>
            </w:pPr>
            <w: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收到面试邀请</w:t>
            </w:r>
          </w:p>
        </w:tc>
        <w:tc>
          <w:tcPr>
            <w:tcW w:w="1080" w:type="dxa"/>
            <w:shd w:val="clear" w:color="auto" w:fill="auto"/>
            <w:vAlign w:val="center"/>
          </w:tcPr>
          <w:p>
            <w:pPr>
              <w:pStyle w:val="52"/>
              <w:jc w:val="center"/>
            </w:pPr>
            <w:r>
              <w:t>113</w:t>
            </w:r>
          </w:p>
        </w:tc>
        <w:tc>
          <w:tcPr>
            <w:tcW w:w="1080" w:type="dxa"/>
            <w:shd w:val="clear" w:color="auto" w:fill="auto"/>
            <w:vAlign w:val="center"/>
          </w:tcPr>
          <w:p>
            <w:pPr>
              <w:pStyle w:val="52"/>
              <w:jc w:val="center"/>
              <w:rPr>
                <w:szCs w:val="20"/>
              </w:rPr>
            </w:pPr>
            <w:r>
              <w:t>6.25</w:t>
            </w:r>
          </w:p>
        </w:tc>
        <w:tc>
          <w:tcPr>
            <w:tcW w:w="1080" w:type="dxa"/>
            <w:shd w:val="clear" w:color="auto" w:fill="auto"/>
            <w:vAlign w:val="center"/>
          </w:tcPr>
          <w:p>
            <w:pPr>
              <w:pStyle w:val="52"/>
              <w:jc w:val="center"/>
              <w:rPr>
                <w:szCs w:val="20"/>
              </w:rPr>
            </w:pPr>
            <w:r>
              <w:t>8.93</w:t>
            </w:r>
          </w:p>
        </w:tc>
        <w:tc>
          <w:tcPr>
            <w:tcW w:w="1080" w:type="dxa"/>
            <w:shd w:val="clear" w:color="auto" w:fill="auto"/>
            <w:vAlign w:val="center"/>
          </w:tcPr>
          <w:p>
            <w:pPr>
              <w:pStyle w:val="52"/>
              <w:jc w:val="center"/>
              <w:rPr>
                <w:szCs w:val="20"/>
              </w:rPr>
            </w:pPr>
            <w:r>
              <w:t>3.00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rPr>
                <w:szCs w:val="20"/>
              </w:rPr>
            </w:pPr>
            <w:r>
              <w:rPr>
                <w:rFonts w:hint="eastAsia"/>
              </w:rPr>
              <w:t>收到录取通知</w:t>
            </w:r>
          </w:p>
        </w:tc>
        <w:tc>
          <w:tcPr>
            <w:tcW w:w="1080" w:type="dxa"/>
            <w:shd w:val="clear" w:color="auto" w:fill="auto"/>
            <w:vAlign w:val="center"/>
          </w:tcPr>
          <w:p>
            <w:pPr>
              <w:pStyle w:val="52"/>
              <w:jc w:val="center"/>
              <w:rPr>
                <w:szCs w:val="20"/>
              </w:rPr>
            </w:pPr>
            <w:r>
              <w:t>115</w:t>
            </w:r>
          </w:p>
        </w:tc>
        <w:tc>
          <w:tcPr>
            <w:tcW w:w="1080" w:type="dxa"/>
            <w:shd w:val="clear" w:color="auto" w:fill="auto"/>
            <w:vAlign w:val="center"/>
          </w:tcPr>
          <w:p>
            <w:pPr>
              <w:pStyle w:val="52"/>
              <w:jc w:val="center"/>
              <w:rPr>
                <w:szCs w:val="20"/>
              </w:rPr>
            </w:pPr>
            <w:r>
              <w:t>2.90</w:t>
            </w:r>
          </w:p>
        </w:tc>
        <w:tc>
          <w:tcPr>
            <w:tcW w:w="1080" w:type="dxa"/>
            <w:shd w:val="clear" w:color="auto" w:fill="auto"/>
            <w:vAlign w:val="center"/>
          </w:tcPr>
          <w:p>
            <w:pPr>
              <w:pStyle w:val="52"/>
              <w:jc w:val="center"/>
              <w:rPr>
                <w:szCs w:val="20"/>
              </w:rPr>
            </w:pPr>
            <w:r>
              <w:t>2.71</w:t>
            </w:r>
          </w:p>
        </w:tc>
        <w:tc>
          <w:tcPr>
            <w:tcW w:w="1080" w:type="dxa"/>
            <w:shd w:val="clear" w:color="auto" w:fill="auto"/>
            <w:vAlign w:val="center"/>
          </w:tcPr>
          <w:p>
            <w:pPr>
              <w:pStyle w:val="52"/>
              <w:jc w:val="center"/>
              <w:rPr>
                <w:szCs w:val="20"/>
              </w:rPr>
            </w:pPr>
            <w:r>
              <w:t>2.00</w:t>
            </w:r>
          </w:p>
        </w:tc>
      </w:tr>
    </w:tbl>
    <w:p>
      <w:pPr>
        <w:pStyle w:val="70"/>
      </w:pPr>
      <w:r>
        <w:rPr>
          <w:rFonts w:hint="eastAsia"/>
        </w:rPr>
        <w:t>（2）不同专业本科生简历投递、面试机会及工作机会</w:t>
      </w:r>
    </w:p>
    <w:p>
      <w:pPr>
        <w:pStyle w:val="37"/>
        <w:ind w:firstLine="480"/>
      </w:pPr>
      <w:r>
        <w:rPr>
          <w:rFonts w:hint="eastAsia"/>
        </w:rPr>
        <w:t>就不同专业而言，本科生投递简历数量最多的前三专业是：舞台灯光（47.00份）、表演（31.47份）、制片管理（16.38份）；面试机会最多的前三专业是：制片管理（9.62次）、演出制作（8.08次）、影视编导（8.00次）；收到录取通知数量最多的前三专业是：戏剧学（5.00份）、影视编导（4.00份）、舞台服装（4.00份）。</w:t>
      </w:r>
    </w:p>
    <w:p>
      <w:pPr>
        <w:pStyle w:val="53"/>
        <w:spacing w:before="312" w:after="156"/>
      </w:pPr>
      <w:r>
        <w:rPr>
          <w:rFonts w:hint="eastAsia"/>
        </w:rPr>
        <w:t>不同专业本科生投递简历数、面试邀请数、录用通知数</w:t>
      </w:r>
    </w:p>
    <w:tbl>
      <w:tblPr>
        <w:tblStyle w:val="33"/>
        <w:tblW w:w="9025" w:type="dxa"/>
        <w:jc w:val="center"/>
        <w:tblInd w:w="0" w:type="dxa"/>
        <w:tblLayout w:type="fixed"/>
        <w:tblCellMar>
          <w:top w:w="0" w:type="dxa"/>
          <w:left w:w="108" w:type="dxa"/>
          <w:bottom w:w="0" w:type="dxa"/>
          <w:right w:w="108" w:type="dxa"/>
        </w:tblCellMar>
      </w:tblPr>
      <w:tblGrid>
        <w:gridCol w:w="1266"/>
        <w:gridCol w:w="429"/>
        <w:gridCol w:w="695"/>
        <w:gridCol w:w="846"/>
        <w:gridCol w:w="695"/>
        <w:gridCol w:w="429"/>
        <w:gridCol w:w="636"/>
        <w:gridCol w:w="846"/>
        <w:gridCol w:w="636"/>
        <w:gridCol w:w="429"/>
        <w:gridCol w:w="636"/>
        <w:gridCol w:w="846"/>
        <w:gridCol w:w="636"/>
      </w:tblGrid>
      <w:tr>
        <w:tblPrEx>
          <w:tblLayout w:type="fixed"/>
          <w:tblCellMar>
            <w:top w:w="0" w:type="dxa"/>
            <w:left w:w="108" w:type="dxa"/>
            <w:bottom w:w="0" w:type="dxa"/>
            <w:right w:w="108" w:type="dxa"/>
          </w:tblCellMar>
        </w:tblPrEx>
        <w:trPr>
          <w:trHeight w:val="300" w:hRule="atLeast"/>
          <w:jc w:val="center"/>
        </w:trPr>
        <w:tc>
          <w:tcPr>
            <w:tcW w:w="1266"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widowControl/>
              <w:jc w:val="center"/>
              <w:rPr>
                <w:rFonts w:ascii="宋体" w:hAnsi="宋体" w:cs="宋体"/>
                <w:color w:val="000000"/>
                <w:kern w:val="0"/>
                <w:szCs w:val="21"/>
              </w:rPr>
            </w:pPr>
          </w:p>
        </w:tc>
        <w:tc>
          <w:tcPr>
            <w:tcW w:w="2665"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投递简历</w:t>
            </w:r>
          </w:p>
        </w:tc>
        <w:tc>
          <w:tcPr>
            <w:tcW w:w="2547"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收到面试邀请</w:t>
            </w:r>
          </w:p>
        </w:tc>
        <w:tc>
          <w:tcPr>
            <w:tcW w:w="2547" w:type="dxa"/>
            <w:gridSpan w:val="4"/>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rFonts w:ascii="宋体" w:hAnsi="宋体" w:cs="宋体"/>
                <w:color w:val="000000"/>
                <w:kern w:val="0"/>
                <w:szCs w:val="21"/>
              </w:rPr>
            </w:pPr>
            <w:r>
              <w:rPr>
                <w:rFonts w:hint="eastAsia"/>
              </w:rPr>
              <w:t>收到录取通知</w:t>
            </w:r>
          </w:p>
        </w:tc>
      </w:tr>
      <w:tr>
        <w:tblPrEx>
          <w:tblLayout w:type="fixed"/>
          <w:tblCellMar>
            <w:top w:w="0" w:type="dxa"/>
            <w:left w:w="108" w:type="dxa"/>
            <w:bottom w:w="0" w:type="dxa"/>
            <w:right w:w="108" w:type="dxa"/>
          </w:tblCellMar>
        </w:tblPrEx>
        <w:trPr>
          <w:trHeight w:val="285" w:hRule="atLeast"/>
          <w:jc w:val="center"/>
        </w:trPr>
        <w:tc>
          <w:tcPr>
            <w:tcW w:w="1266" w:type="dxa"/>
            <w:vMerge w:val="continue"/>
            <w:tcBorders>
              <w:top w:val="single" w:color="00B050" w:sz="12" w:space="0"/>
              <w:left w:val="single" w:color="00B050" w:sz="8" w:space="0"/>
              <w:bottom w:val="single" w:color="00B050" w:sz="8" w:space="0"/>
              <w:right w:val="dotted" w:color="00B050" w:sz="8" w:space="0"/>
            </w:tcBorders>
            <w:vAlign w:val="center"/>
          </w:tcPr>
          <w:p>
            <w:pPr>
              <w:widowControl/>
              <w:jc w:val="left"/>
              <w:rPr>
                <w:rFonts w:ascii="宋体" w:hAnsi="宋体" w:cs="宋体"/>
                <w:color w:val="000000"/>
                <w:kern w:val="0"/>
                <w:szCs w:val="21"/>
              </w:rPr>
            </w:pP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95"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95" w:type="dxa"/>
            <w:tcBorders>
              <w:top w:val="nil"/>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中值</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36" w:type="dxa"/>
            <w:tcBorders>
              <w:top w:val="nil"/>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中值</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36" w:type="dxa"/>
            <w:tcBorders>
              <w:top w:val="nil"/>
              <w:left w:val="dotted" w:color="00B050" w:sz="8" w:space="0"/>
              <w:bottom w:val="single" w:color="00B050" w:sz="8" w:space="0"/>
              <w:right w:val="single" w:color="00B050"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中值</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表演</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32</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31.47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60.00</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7.11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12.88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2.00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2.07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2.05</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播音与主持</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5.08</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5.09</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4.00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4.67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5.03</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2.50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2.23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1.24</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2.00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电视剧创作</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2.67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2.08</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2.00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0.58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1.00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0.58</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r>
        <w:tblPrEx>
          <w:tblLayout w:type="fixed"/>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舞台灯光</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47.00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57.98</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47.00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2.12</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2.50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0.00</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舞台服装</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3.20</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5.50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3.11</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2.50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1.73</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5.00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舞台化装</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2.00</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6.00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3.33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0.58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2.33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1.53</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2.00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舞台绘景</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6.71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4.50</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2.57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0.98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1.52</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2.50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舞台设计</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0.00</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0.00</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0.00</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戏剧创作</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8</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8.00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9.53</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4.00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3.34</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2.83</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2.00</w:t>
            </w:r>
          </w:p>
        </w:tc>
      </w:tr>
      <w:tr>
        <w:tblPrEx>
          <w:tblLayout w:type="fixed"/>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戏剧学</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11.45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7.84</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10.00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6.55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3.78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6.00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5.34</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3.50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演出制作</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14.82</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19.32</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10.00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8.08</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9.95</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3.69</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2.39</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3.00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影视编导</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14.71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11.44</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10.00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8.00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5.29</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9.00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3.35</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3.50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制片管理</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16.38</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26.11</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6.00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9.62</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12.90</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5.00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3.17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1.99</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3.00</w:t>
            </w:r>
          </w:p>
        </w:tc>
      </w:tr>
      <w:tr>
        <w:tblPrEx>
          <w:tblLayout w:type="fixed"/>
          <w:tblCellMar>
            <w:top w:w="0" w:type="dxa"/>
            <w:left w:w="108" w:type="dxa"/>
            <w:bottom w:w="0" w:type="dxa"/>
            <w:right w:w="108" w:type="dxa"/>
          </w:tblCellMar>
        </w:tblPrEx>
        <w:trPr>
          <w:trHeight w:val="300" w:hRule="atLeast"/>
          <w:jc w:val="center"/>
        </w:trPr>
        <w:tc>
          <w:tcPr>
            <w:tcW w:w="126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导演</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0.00</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1.67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1.15</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bl>
    <w:p>
      <w:pPr>
        <w:pStyle w:val="37"/>
        <w:ind w:firstLine="0" w:firstLineChars="0"/>
      </w:pPr>
    </w:p>
    <w:p>
      <w:pPr>
        <w:pStyle w:val="67"/>
      </w:pPr>
      <w:bookmarkStart w:id="160" w:name="_Toc470167407"/>
      <w:r>
        <w:rPr>
          <w:rFonts w:hint="eastAsia"/>
        </w:rPr>
        <w:t>3、</w:t>
      </w:r>
      <w:r>
        <w:t>求职周期</w:t>
      </w:r>
      <w:r>
        <w:rPr>
          <w:rFonts w:hint="eastAsia"/>
        </w:rPr>
        <w:t>和收到第一份录用通知的时间</w:t>
      </w:r>
      <w:bookmarkEnd w:id="160"/>
    </w:p>
    <w:p>
      <w:pPr>
        <w:pStyle w:val="70"/>
      </w:pPr>
      <w:r>
        <w:rPr>
          <w:rFonts w:hint="eastAsia"/>
        </w:rPr>
        <w:t>（1）求职周期</w:t>
      </w:r>
    </w:p>
    <w:p>
      <w:pPr>
        <w:pStyle w:val="75"/>
      </w:pPr>
      <w:bookmarkStart w:id="161" w:name="PO_33331"/>
      <w:bookmarkEnd w:id="161"/>
      <w:r>
        <w:rPr>
          <w:rFonts w:hint="eastAsia"/>
        </w:rPr>
        <w:t>①总体情况</w:t>
      </w:r>
    </w:p>
    <w:p>
      <w:pPr>
        <w:pStyle w:val="37"/>
        <w:ind w:firstLine="480"/>
      </w:pPr>
      <w:r>
        <w:rPr>
          <w:rFonts w:hint="eastAsia"/>
        </w:rPr>
        <w:t>调查显示，本科生求职初始到最终落实工作所用时间平均为2.92个月。</w:t>
      </w:r>
    </w:p>
    <w:p>
      <w:pPr>
        <w:pStyle w:val="53"/>
        <w:spacing w:before="312" w:after="156"/>
      </w:pPr>
      <w:r>
        <w:rPr>
          <w:rFonts w:hint="eastAsia"/>
        </w:rPr>
        <w:t>本科生求职周期</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119</w:t>
            </w:r>
          </w:p>
        </w:tc>
        <w:tc>
          <w:tcPr>
            <w:tcW w:w="1067" w:type="dxa"/>
            <w:vAlign w:val="center"/>
          </w:tcPr>
          <w:p>
            <w:pPr>
              <w:pStyle w:val="52"/>
              <w:jc w:val="center"/>
              <w:rPr>
                <w:kern w:val="0"/>
              </w:rPr>
            </w:pPr>
            <w:r>
              <w:rPr>
                <w:kern w:val="0"/>
              </w:rPr>
              <w:t>2.00</w:t>
            </w:r>
          </w:p>
        </w:tc>
        <w:tc>
          <w:tcPr>
            <w:tcW w:w="1067" w:type="dxa"/>
            <w:shd w:val="clear" w:color="auto" w:fill="auto"/>
            <w:vAlign w:val="center"/>
          </w:tcPr>
          <w:p>
            <w:pPr>
              <w:pStyle w:val="52"/>
              <w:jc w:val="center"/>
              <w:rPr>
                <w:kern w:val="0"/>
              </w:rPr>
            </w:pPr>
            <w:r>
              <w:rPr>
                <w:kern w:val="0"/>
              </w:rPr>
              <w:t>2.92</w:t>
            </w:r>
          </w:p>
        </w:tc>
        <w:tc>
          <w:tcPr>
            <w:tcW w:w="1068" w:type="dxa"/>
            <w:shd w:val="clear" w:color="auto" w:fill="auto"/>
            <w:vAlign w:val="center"/>
          </w:tcPr>
          <w:p>
            <w:pPr>
              <w:pStyle w:val="52"/>
              <w:jc w:val="center"/>
              <w:rPr>
                <w:kern w:val="0"/>
              </w:rPr>
            </w:pPr>
            <w:r>
              <w:rPr>
                <w:kern w:val="0"/>
              </w:rPr>
              <w:t>2.44</w:t>
            </w:r>
          </w:p>
        </w:tc>
      </w:tr>
    </w:tbl>
    <w:p>
      <w:pPr>
        <w:pStyle w:val="75"/>
      </w:pPr>
      <w:r>
        <w:rPr>
          <w:rFonts w:hint="eastAsia"/>
        </w:rPr>
        <w:t>②不同专业本科生求职周期</w:t>
      </w:r>
    </w:p>
    <w:p>
      <w:pPr>
        <w:pStyle w:val="37"/>
        <w:ind w:firstLine="480"/>
      </w:pPr>
      <w:r>
        <w:rPr>
          <w:rFonts w:hint="eastAsia"/>
        </w:rPr>
        <w:t>就专业而言，方差检验显示，不同专业的本科生求职初始到最终落实工作所用时间不存在显著性差异（F=0.98，p&gt;0.05）。</w:t>
      </w:r>
    </w:p>
    <w:p>
      <w:pPr>
        <w:jc w:val="center"/>
      </w:pPr>
      <w:r>
        <w:rPr>
          <w:rFonts w:hint="eastAsia"/>
        </w:rPr>
        <w:drawing>
          <wp:inline distT="0" distB="0" distL="0" distR="0">
            <wp:extent cx="5791200" cy="8305800"/>
            <wp:effectExtent l="19050" t="0" r="19050" b="0"/>
            <wp:docPr id="4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59"/>
        <w:spacing w:before="156" w:after="312"/>
      </w:pPr>
      <w:r>
        <w:rPr>
          <w:rFonts w:hint="eastAsia"/>
        </w:rPr>
        <w:t>不同专业本科生求职周期</w:t>
      </w:r>
    </w:p>
    <w:p>
      <w:pPr>
        <w:pStyle w:val="53"/>
        <w:spacing w:before="312" w:after="156"/>
      </w:pPr>
      <w:r>
        <w:rPr>
          <w:rFonts w:hint="eastAsia"/>
        </w:rPr>
        <w:t>本科生求职周期</w:t>
      </w:r>
    </w:p>
    <w:tbl>
      <w:tblPr>
        <w:tblStyle w:val="33"/>
        <w:tblW w:w="5607"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636"/>
        <w:gridCol w:w="846"/>
        <w:gridCol w:w="636"/>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266" w:type="dxa"/>
            <w:tcBorders>
              <w:left w:val="dotted" w:color="00B050" w:sz="8" w:space="0"/>
            </w:tcBorders>
            <w:shd w:val="clear" w:color="auto" w:fill="auto"/>
            <w:vAlign w:val="center"/>
          </w:tcPr>
          <w:p>
            <w:pPr>
              <w:pStyle w:val="52"/>
              <w:jc w:val="left"/>
              <w:rPr>
                <w:kern w:val="0"/>
              </w:rPr>
            </w:pPr>
          </w:p>
        </w:tc>
        <w:tc>
          <w:tcPr>
            <w:tcW w:w="531" w:type="dxa"/>
            <w:shd w:val="clear" w:color="auto" w:fill="auto"/>
            <w:vAlign w:val="center"/>
          </w:tcPr>
          <w:p>
            <w:pPr>
              <w:pStyle w:val="52"/>
              <w:jc w:val="center"/>
              <w:rPr>
                <w:kern w:val="0"/>
              </w:rPr>
            </w:pPr>
            <w:r>
              <w:rPr>
                <w:rFonts w:eastAsia="MingLiU"/>
                <w:kern w:val="0"/>
              </w:rPr>
              <w:t>N</w:t>
            </w:r>
          </w:p>
        </w:tc>
        <w:tc>
          <w:tcPr>
            <w:tcW w:w="636" w:type="dxa"/>
            <w:shd w:val="clear" w:color="auto" w:fill="auto"/>
            <w:vAlign w:val="center"/>
          </w:tcPr>
          <w:p>
            <w:pPr>
              <w:pStyle w:val="52"/>
              <w:jc w:val="center"/>
              <w:rPr>
                <w:kern w:val="0"/>
              </w:rPr>
            </w:pPr>
            <w:r>
              <w:rPr>
                <w:rFonts w:hint="eastAsia"/>
                <w:kern w:val="0"/>
              </w:rPr>
              <w:t>均值</w:t>
            </w:r>
          </w:p>
        </w:tc>
        <w:tc>
          <w:tcPr>
            <w:tcW w:w="846" w:type="dxa"/>
            <w:shd w:val="clear" w:color="auto" w:fill="auto"/>
            <w:vAlign w:val="center"/>
          </w:tcPr>
          <w:p>
            <w:pPr>
              <w:pStyle w:val="52"/>
              <w:jc w:val="center"/>
              <w:rPr>
                <w:kern w:val="0"/>
              </w:rPr>
            </w:pPr>
            <w:r>
              <w:rPr>
                <w:rFonts w:hint="eastAsia"/>
                <w:kern w:val="0"/>
              </w:rPr>
              <w:t>标准差</w:t>
            </w:r>
          </w:p>
        </w:tc>
        <w:tc>
          <w:tcPr>
            <w:tcW w:w="636"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表演</w:t>
            </w:r>
          </w:p>
        </w:tc>
        <w:tc>
          <w:tcPr>
            <w:tcW w:w="531" w:type="dxa"/>
            <w:shd w:val="clear" w:color="auto" w:fill="auto"/>
            <w:vAlign w:val="center"/>
          </w:tcPr>
          <w:p>
            <w:pPr>
              <w:pStyle w:val="52"/>
              <w:jc w:val="center"/>
              <w:rPr>
                <w:rFonts w:eastAsia="MingLiU"/>
                <w:kern w:val="0"/>
              </w:rPr>
            </w:pPr>
            <w:r>
              <w:rPr>
                <w:rFonts w:eastAsia="MingLiU"/>
                <w:kern w:val="0"/>
              </w:rPr>
              <w:t>29</w:t>
            </w:r>
          </w:p>
        </w:tc>
        <w:tc>
          <w:tcPr>
            <w:tcW w:w="636" w:type="dxa"/>
            <w:shd w:val="clear" w:color="auto" w:fill="auto"/>
            <w:vAlign w:val="center"/>
          </w:tcPr>
          <w:p>
            <w:pPr>
              <w:pStyle w:val="52"/>
              <w:jc w:val="center"/>
              <w:rPr>
                <w:kern w:val="0"/>
              </w:rPr>
            </w:pPr>
            <w:r>
              <w:rPr>
                <w:kern w:val="0"/>
              </w:rPr>
              <w:t>2.52</w:t>
            </w:r>
          </w:p>
        </w:tc>
        <w:tc>
          <w:tcPr>
            <w:tcW w:w="846" w:type="dxa"/>
            <w:shd w:val="clear" w:color="auto" w:fill="auto"/>
            <w:vAlign w:val="center"/>
          </w:tcPr>
          <w:p>
            <w:pPr>
              <w:pStyle w:val="52"/>
              <w:jc w:val="center"/>
              <w:rPr>
                <w:kern w:val="0"/>
              </w:rPr>
            </w:pPr>
            <w:r>
              <w:rPr>
                <w:kern w:val="0"/>
              </w:rPr>
              <w:t>1.62</w:t>
            </w:r>
          </w:p>
        </w:tc>
        <w:tc>
          <w:tcPr>
            <w:tcW w:w="636" w:type="dxa"/>
            <w:vAlign w:val="center"/>
          </w:tcPr>
          <w:p>
            <w:pPr>
              <w:pStyle w:val="52"/>
              <w:jc w:val="center"/>
              <w:rPr>
                <w:kern w:val="0"/>
              </w:rPr>
            </w:pPr>
            <w:r>
              <w:rPr>
                <w:kern w:val="0"/>
              </w:rPr>
              <w:t>3.00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F=0.98</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播音与主持</w:t>
            </w:r>
          </w:p>
        </w:tc>
        <w:tc>
          <w:tcPr>
            <w:tcW w:w="531" w:type="dxa"/>
            <w:shd w:val="clear" w:color="auto" w:fill="auto"/>
            <w:vAlign w:val="center"/>
          </w:tcPr>
          <w:p>
            <w:pPr>
              <w:pStyle w:val="52"/>
              <w:jc w:val="center"/>
              <w:rPr>
                <w:rFonts w:eastAsia="MingLiU"/>
                <w:kern w:val="0"/>
              </w:rPr>
            </w:pPr>
            <w:r>
              <w:rPr>
                <w:rFonts w:eastAsia="MingLiU"/>
                <w:kern w:val="0"/>
              </w:rPr>
              <w:t>12</w:t>
            </w:r>
          </w:p>
        </w:tc>
        <w:tc>
          <w:tcPr>
            <w:tcW w:w="636" w:type="dxa"/>
            <w:shd w:val="clear" w:color="auto" w:fill="auto"/>
            <w:vAlign w:val="center"/>
          </w:tcPr>
          <w:p>
            <w:pPr>
              <w:pStyle w:val="52"/>
              <w:jc w:val="center"/>
              <w:rPr>
                <w:kern w:val="0"/>
              </w:rPr>
            </w:pPr>
            <w:r>
              <w:rPr>
                <w:kern w:val="0"/>
              </w:rPr>
              <w:t>4.08</w:t>
            </w:r>
          </w:p>
        </w:tc>
        <w:tc>
          <w:tcPr>
            <w:tcW w:w="846" w:type="dxa"/>
            <w:shd w:val="clear" w:color="auto" w:fill="auto"/>
            <w:vAlign w:val="center"/>
          </w:tcPr>
          <w:p>
            <w:pPr>
              <w:pStyle w:val="52"/>
              <w:jc w:val="center"/>
              <w:rPr>
                <w:kern w:val="0"/>
              </w:rPr>
            </w:pPr>
            <w:r>
              <w:rPr>
                <w:kern w:val="0"/>
              </w:rPr>
              <w:t>3.63</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导演</w:t>
            </w:r>
          </w:p>
        </w:tc>
        <w:tc>
          <w:tcPr>
            <w:tcW w:w="531" w:type="dxa"/>
            <w:shd w:val="clear" w:color="auto" w:fill="auto"/>
            <w:vAlign w:val="center"/>
          </w:tcPr>
          <w:p>
            <w:pPr>
              <w:pStyle w:val="52"/>
              <w:jc w:val="center"/>
              <w:rPr>
                <w:rFonts w:eastAsia="MingLiU"/>
                <w:kern w:val="0"/>
              </w:rPr>
            </w:pPr>
            <w:r>
              <w:rPr>
                <w:rFonts w:eastAsia="MingLiU"/>
                <w:kern w:val="0"/>
              </w:rPr>
              <w:t>2</w:t>
            </w:r>
          </w:p>
        </w:tc>
        <w:tc>
          <w:tcPr>
            <w:tcW w:w="636" w:type="dxa"/>
            <w:shd w:val="clear" w:color="auto" w:fill="auto"/>
            <w:vAlign w:val="center"/>
          </w:tcPr>
          <w:p>
            <w:pPr>
              <w:pStyle w:val="52"/>
              <w:jc w:val="center"/>
              <w:rPr>
                <w:kern w:val="0"/>
              </w:rPr>
            </w:pPr>
            <w:r>
              <w:rPr>
                <w:kern w:val="0"/>
              </w:rPr>
              <w:t>2.50</w:t>
            </w:r>
          </w:p>
        </w:tc>
        <w:tc>
          <w:tcPr>
            <w:tcW w:w="846" w:type="dxa"/>
            <w:shd w:val="clear" w:color="auto" w:fill="auto"/>
            <w:vAlign w:val="center"/>
          </w:tcPr>
          <w:p>
            <w:pPr>
              <w:pStyle w:val="52"/>
              <w:jc w:val="center"/>
              <w:rPr>
                <w:kern w:val="0"/>
              </w:rPr>
            </w:pPr>
            <w:r>
              <w:rPr>
                <w:kern w:val="0"/>
              </w:rPr>
              <w:t>2.12</w:t>
            </w:r>
          </w:p>
        </w:tc>
        <w:tc>
          <w:tcPr>
            <w:tcW w:w="636" w:type="dxa"/>
            <w:vAlign w:val="center"/>
          </w:tcPr>
          <w:p>
            <w:pPr>
              <w:pStyle w:val="52"/>
              <w:jc w:val="center"/>
              <w:rPr>
                <w:kern w:val="0"/>
              </w:rPr>
            </w:pPr>
            <w:r>
              <w:rPr>
                <w:kern w:val="0"/>
              </w:rPr>
              <w:t>2.50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电视剧创作</w:t>
            </w:r>
          </w:p>
        </w:tc>
        <w:tc>
          <w:tcPr>
            <w:tcW w:w="531"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1.00</w:t>
            </w:r>
          </w:p>
        </w:tc>
        <w:tc>
          <w:tcPr>
            <w:tcW w:w="846" w:type="dxa"/>
            <w:shd w:val="clear" w:color="auto" w:fill="auto"/>
            <w:vAlign w:val="center"/>
          </w:tcPr>
          <w:p>
            <w:pPr>
              <w:pStyle w:val="52"/>
              <w:jc w:val="center"/>
              <w:rPr>
                <w:kern w:val="0"/>
              </w:rPr>
            </w:pPr>
            <w:r>
              <w:rPr>
                <w:kern w:val="0"/>
              </w:rPr>
              <w:t>0.00</w:t>
            </w:r>
          </w:p>
        </w:tc>
        <w:tc>
          <w:tcPr>
            <w:tcW w:w="636" w:type="dxa"/>
            <w:vAlign w:val="center"/>
          </w:tcPr>
          <w:p>
            <w:pPr>
              <w:pStyle w:val="52"/>
              <w:jc w:val="center"/>
              <w:rPr>
                <w:kern w:val="0"/>
              </w:rPr>
            </w:pPr>
            <w:r>
              <w:rPr>
                <w:kern w:val="0"/>
              </w:rPr>
              <w:t>1.00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舞台灯光</w:t>
            </w:r>
          </w:p>
        </w:tc>
        <w:tc>
          <w:tcPr>
            <w:tcW w:w="531"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5.33</w:t>
            </w:r>
          </w:p>
        </w:tc>
        <w:tc>
          <w:tcPr>
            <w:tcW w:w="846" w:type="dxa"/>
            <w:shd w:val="clear" w:color="auto" w:fill="auto"/>
            <w:vAlign w:val="center"/>
          </w:tcPr>
          <w:p>
            <w:pPr>
              <w:pStyle w:val="52"/>
              <w:jc w:val="center"/>
              <w:rPr>
                <w:kern w:val="0"/>
              </w:rPr>
            </w:pPr>
            <w:r>
              <w:rPr>
                <w:kern w:val="0"/>
              </w:rPr>
              <w:t>5.86</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舞台服装</w:t>
            </w:r>
          </w:p>
        </w:tc>
        <w:tc>
          <w:tcPr>
            <w:tcW w:w="531" w:type="dxa"/>
            <w:shd w:val="clear" w:color="auto" w:fill="auto"/>
            <w:vAlign w:val="center"/>
          </w:tcPr>
          <w:p>
            <w:pPr>
              <w:pStyle w:val="52"/>
              <w:jc w:val="center"/>
              <w:rPr>
                <w:rFonts w:eastAsia="MingLiU"/>
                <w:kern w:val="0"/>
              </w:rPr>
            </w:pPr>
            <w:r>
              <w:rPr>
                <w:rFonts w:eastAsia="MingLiU"/>
                <w:kern w:val="0"/>
              </w:rPr>
              <w:t>4</w:t>
            </w:r>
          </w:p>
        </w:tc>
        <w:tc>
          <w:tcPr>
            <w:tcW w:w="636" w:type="dxa"/>
            <w:shd w:val="clear" w:color="auto" w:fill="auto"/>
            <w:vAlign w:val="center"/>
          </w:tcPr>
          <w:p>
            <w:pPr>
              <w:pStyle w:val="52"/>
              <w:jc w:val="center"/>
              <w:rPr>
                <w:kern w:val="0"/>
              </w:rPr>
            </w:pPr>
            <w:r>
              <w:rPr>
                <w:kern w:val="0"/>
              </w:rPr>
              <w:t>3.00</w:t>
            </w:r>
          </w:p>
        </w:tc>
        <w:tc>
          <w:tcPr>
            <w:tcW w:w="846" w:type="dxa"/>
            <w:shd w:val="clear" w:color="auto" w:fill="auto"/>
            <w:vAlign w:val="center"/>
          </w:tcPr>
          <w:p>
            <w:pPr>
              <w:pStyle w:val="52"/>
              <w:jc w:val="center"/>
              <w:rPr>
                <w:kern w:val="0"/>
              </w:rPr>
            </w:pPr>
            <w:r>
              <w:rPr>
                <w:kern w:val="0"/>
              </w:rPr>
              <w:t>2.16</w:t>
            </w:r>
          </w:p>
        </w:tc>
        <w:tc>
          <w:tcPr>
            <w:tcW w:w="636" w:type="dxa"/>
            <w:vAlign w:val="center"/>
          </w:tcPr>
          <w:p>
            <w:pPr>
              <w:pStyle w:val="52"/>
              <w:jc w:val="center"/>
              <w:rPr>
                <w:kern w:val="0"/>
              </w:rPr>
            </w:pPr>
            <w:r>
              <w:rPr>
                <w:kern w:val="0"/>
              </w:rPr>
              <w:t>2.50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舞台化装</w:t>
            </w:r>
          </w:p>
        </w:tc>
        <w:tc>
          <w:tcPr>
            <w:tcW w:w="531"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4.67</w:t>
            </w:r>
          </w:p>
        </w:tc>
        <w:tc>
          <w:tcPr>
            <w:tcW w:w="846" w:type="dxa"/>
            <w:shd w:val="clear" w:color="auto" w:fill="auto"/>
            <w:vAlign w:val="center"/>
          </w:tcPr>
          <w:p>
            <w:pPr>
              <w:pStyle w:val="52"/>
              <w:jc w:val="center"/>
              <w:rPr>
                <w:kern w:val="0"/>
              </w:rPr>
            </w:pPr>
            <w:r>
              <w:rPr>
                <w:kern w:val="0"/>
              </w:rPr>
              <w:t>4.62</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舞台绘景</w:t>
            </w:r>
          </w:p>
        </w:tc>
        <w:tc>
          <w:tcPr>
            <w:tcW w:w="531" w:type="dxa"/>
            <w:shd w:val="clear" w:color="auto" w:fill="auto"/>
            <w:vAlign w:val="center"/>
          </w:tcPr>
          <w:p>
            <w:pPr>
              <w:pStyle w:val="52"/>
              <w:jc w:val="center"/>
              <w:rPr>
                <w:rFonts w:eastAsia="MingLiU"/>
                <w:kern w:val="0"/>
              </w:rPr>
            </w:pPr>
            <w:r>
              <w:rPr>
                <w:rFonts w:eastAsia="MingLiU"/>
                <w:kern w:val="0"/>
              </w:rPr>
              <w:t>7</w:t>
            </w:r>
          </w:p>
        </w:tc>
        <w:tc>
          <w:tcPr>
            <w:tcW w:w="636" w:type="dxa"/>
            <w:shd w:val="clear" w:color="auto" w:fill="auto"/>
            <w:vAlign w:val="center"/>
          </w:tcPr>
          <w:p>
            <w:pPr>
              <w:pStyle w:val="52"/>
              <w:jc w:val="center"/>
              <w:rPr>
                <w:kern w:val="0"/>
              </w:rPr>
            </w:pPr>
            <w:r>
              <w:rPr>
                <w:kern w:val="0"/>
              </w:rPr>
              <w:t>2.71</w:t>
            </w:r>
          </w:p>
        </w:tc>
        <w:tc>
          <w:tcPr>
            <w:tcW w:w="846" w:type="dxa"/>
            <w:shd w:val="clear" w:color="auto" w:fill="auto"/>
            <w:vAlign w:val="center"/>
          </w:tcPr>
          <w:p>
            <w:pPr>
              <w:pStyle w:val="52"/>
              <w:jc w:val="center"/>
              <w:rPr>
                <w:kern w:val="0"/>
              </w:rPr>
            </w:pPr>
            <w:r>
              <w:rPr>
                <w:kern w:val="0"/>
              </w:rPr>
              <w:t>1.98</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舞台设计</w:t>
            </w:r>
          </w:p>
        </w:tc>
        <w:tc>
          <w:tcPr>
            <w:tcW w:w="531" w:type="dxa"/>
            <w:shd w:val="clear" w:color="auto" w:fill="auto"/>
            <w:vAlign w:val="center"/>
          </w:tcPr>
          <w:p>
            <w:pPr>
              <w:pStyle w:val="52"/>
              <w:jc w:val="center"/>
              <w:rPr>
                <w:rFonts w:eastAsia="MingLiU"/>
                <w:kern w:val="0"/>
              </w:rPr>
            </w:pPr>
            <w:r>
              <w:rPr>
                <w:rFonts w:eastAsia="MingLiU"/>
                <w:kern w:val="0"/>
              </w:rPr>
              <w:t>1</w:t>
            </w:r>
          </w:p>
        </w:tc>
        <w:tc>
          <w:tcPr>
            <w:tcW w:w="636" w:type="dxa"/>
            <w:shd w:val="clear" w:color="auto" w:fill="auto"/>
            <w:vAlign w:val="center"/>
          </w:tcPr>
          <w:p>
            <w:pPr>
              <w:pStyle w:val="52"/>
              <w:jc w:val="center"/>
              <w:rPr>
                <w:kern w:val="0"/>
              </w:rPr>
            </w:pPr>
            <w:r>
              <w:rPr>
                <w:kern w:val="0"/>
              </w:rPr>
              <w:t>6.00</w:t>
            </w:r>
          </w:p>
        </w:tc>
        <w:tc>
          <w:tcPr>
            <w:tcW w:w="846" w:type="dxa"/>
            <w:shd w:val="clear" w:color="auto" w:fill="auto"/>
            <w:vAlign w:val="center"/>
          </w:tcPr>
          <w:p>
            <w:pPr>
              <w:pStyle w:val="52"/>
              <w:jc w:val="center"/>
              <w:rPr>
                <w:kern w:val="0"/>
              </w:rPr>
            </w:pPr>
            <w:r>
              <w:rPr>
                <w:kern w:val="0"/>
              </w:rPr>
              <w:t>0.00</w:t>
            </w:r>
          </w:p>
        </w:tc>
        <w:tc>
          <w:tcPr>
            <w:tcW w:w="636" w:type="dxa"/>
            <w:vAlign w:val="center"/>
          </w:tcPr>
          <w:p>
            <w:pPr>
              <w:pStyle w:val="52"/>
              <w:jc w:val="center"/>
              <w:rPr>
                <w:kern w:val="0"/>
              </w:rPr>
            </w:pPr>
            <w:r>
              <w:rPr>
                <w:kern w:val="0"/>
              </w:rPr>
              <w:t>6.00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戏剧创作</w:t>
            </w:r>
          </w:p>
        </w:tc>
        <w:tc>
          <w:tcPr>
            <w:tcW w:w="531" w:type="dxa"/>
            <w:shd w:val="clear" w:color="auto" w:fill="auto"/>
            <w:vAlign w:val="center"/>
          </w:tcPr>
          <w:p>
            <w:pPr>
              <w:pStyle w:val="52"/>
              <w:jc w:val="center"/>
              <w:rPr>
                <w:rFonts w:eastAsia="MingLiU"/>
                <w:kern w:val="0"/>
              </w:rPr>
            </w:pPr>
            <w:r>
              <w:rPr>
                <w:rFonts w:eastAsia="MingLiU"/>
                <w:kern w:val="0"/>
              </w:rPr>
              <w:t>9</w:t>
            </w:r>
          </w:p>
        </w:tc>
        <w:tc>
          <w:tcPr>
            <w:tcW w:w="636" w:type="dxa"/>
            <w:shd w:val="clear" w:color="auto" w:fill="auto"/>
            <w:vAlign w:val="center"/>
          </w:tcPr>
          <w:p>
            <w:pPr>
              <w:pStyle w:val="52"/>
              <w:jc w:val="center"/>
              <w:rPr>
                <w:kern w:val="0"/>
              </w:rPr>
            </w:pPr>
            <w:r>
              <w:rPr>
                <w:kern w:val="0"/>
              </w:rPr>
              <w:t>3.44</w:t>
            </w:r>
          </w:p>
        </w:tc>
        <w:tc>
          <w:tcPr>
            <w:tcW w:w="846" w:type="dxa"/>
            <w:shd w:val="clear" w:color="auto" w:fill="auto"/>
            <w:vAlign w:val="center"/>
          </w:tcPr>
          <w:p>
            <w:pPr>
              <w:pStyle w:val="52"/>
              <w:jc w:val="center"/>
              <w:rPr>
                <w:kern w:val="0"/>
              </w:rPr>
            </w:pPr>
            <w:r>
              <w:rPr>
                <w:kern w:val="0"/>
              </w:rPr>
              <w:t>2.40</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戏剧学</w:t>
            </w:r>
          </w:p>
        </w:tc>
        <w:tc>
          <w:tcPr>
            <w:tcW w:w="531" w:type="dxa"/>
            <w:shd w:val="clear" w:color="auto" w:fill="auto"/>
            <w:vAlign w:val="center"/>
          </w:tcPr>
          <w:p>
            <w:pPr>
              <w:pStyle w:val="52"/>
              <w:jc w:val="center"/>
              <w:rPr>
                <w:rFonts w:eastAsia="MingLiU"/>
                <w:kern w:val="0"/>
              </w:rPr>
            </w:pPr>
            <w:r>
              <w:rPr>
                <w:rFonts w:eastAsia="MingLiU"/>
                <w:kern w:val="0"/>
              </w:rPr>
              <w:t>12</w:t>
            </w:r>
          </w:p>
        </w:tc>
        <w:tc>
          <w:tcPr>
            <w:tcW w:w="636" w:type="dxa"/>
            <w:shd w:val="clear" w:color="auto" w:fill="auto"/>
            <w:vAlign w:val="center"/>
          </w:tcPr>
          <w:p>
            <w:pPr>
              <w:pStyle w:val="52"/>
              <w:jc w:val="center"/>
              <w:rPr>
                <w:kern w:val="0"/>
              </w:rPr>
            </w:pPr>
            <w:r>
              <w:rPr>
                <w:kern w:val="0"/>
              </w:rPr>
              <w:t>2.58</w:t>
            </w:r>
          </w:p>
        </w:tc>
        <w:tc>
          <w:tcPr>
            <w:tcW w:w="846" w:type="dxa"/>
            <w:shd w:val="clear" w:color="auto" w:fill="auto"/>
            <w:vAlign w:val="center"/>
          </w:tcPr>
          <w:p>
            <w:pPr>
              <w:pStyle w:val="52"/>
              <w:jc w:val="center"/>
              <w:rPr>
                <w:kern w:val="0"/>
              </w:rPr>
            </w:pPr>
            <w:r>
              <w:rPr>
                <w:kern w:val="0"/>
              </w:rPr>
              <w:t>1.83</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演出制作</w:t>
            </w:r>
          </w:p>
        </w:tc>
        <w:tc>
          <w:tcPr>
            <w:tcW w:w="531" w:type="dxa"/>
            <w:shd w:val="clear" w:color="auto" w:fill="auto"/>
            <w:vAlign w:val="center"/>
          </w:tcPr>
          <w:p>
            <w:pPr>
              <w:pStyle w:val="52"/>
              <w:jc w:val="center"/>
              <w:rPr>
                <w:rFonts w:eastAsia="MingLiU"/>
                <w:kern w:val="0"/>
              </w:rPr>
            </w:pPr>
            <w:r>
              <w:rPr>
                <w:rFonts w:eastAsia="MingLiU"/>
                <w:kern w:val="0"/>
              </w:rPr>
              <w:t>13</w:t>
            </w:r>
          </w:p>
        </w:tc>
        <w:tc>
          <w:tcPr>
            <w:tcW w:w="636" w:type="dxa"/>
            <w:shd w:val="clear" w:color="auto" w:fill="auto"/>
            <w:vAlign w:val="center"/>
          </w:tcPr>
          <w:p>
            <w:pPr>
              <w:pStyle w:val="52"/>
              <w:jc w:val="center"/>
              <w:rPr>
                <w:kern w:val="0"/>
              </w:rPr>
            </w:pPr>
            <w:r>
              <w:rPr>
                <w:kern w:val="0"/>
              </w:rPr>
              <w:t>2.63</w:t>
            </w:r>
          </w:p>
        </w:tc>
        <w:tc>
          <w:tcPr>
            <w:tcW w:w="846" w:type="dxa"/>
            <w:shd w:val="clear" w:color="auto" w:fill="auto"/>
            <w:vAlign w:val="center"/>
          </w:tcPr>
          <w:p>
            <w:pPr>
              <w:pStyle w:val="52"/>
              <w:jc w:val="center"/>
              <w:rPr>
                <w:kern w:val="0"/>
              </w:rPr>
            </w:pPr>
            <w:r>
              <w:rPr>
                <w:kern w:val="0"/>
              </w:rPr>
              <w:t>1.63</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影视编导</w:t>
            </w:r>
          </w:p>
        </w:tc>
        <w:tc>
          <w:tcPr>
            <w:tcW w:w="531" w:type="dxa"/>
            <w:shd w:val="clear" w:color="auto" w:fill="auto"/>
            <w:vAlign w:val="center"/>
          </w:tcPr>
          <w:p>
            <w:pPr>
              <w:pStyle w:val="52"/>
              <w:jc w:val="center"/>
              <w:rPr>
                <w:rFonts w:eastAsia="MingLiU"/>
                <w:kern w:val="0"/>
              </w:rPr>
            </w:pPr>
            <w:r>
              <w:rPr>
                <w:rFonts w:eastAsia="MingLiU"/>
                <w:kern w:val="0"/>
              </w:rPr>
              <w:t>7</w:t>
            </w:r>
          </w:p>
        </w:tc>
        <w:tc>
          <w:tcPr>
            <w:tcW w:w="636" w:type="dxa"/>
            <w:shd w:val="clear" w:color="auto" w:fill="auto"/>
            <w:vAlign w:val="center"/>
          </w:tcPr>
          <w:p>
            <w:pPr>
              <w:pStyle w:val="52"/>
              <w:jc w:val="center"/>
              <w:rPr>
                <w:kern w:val="0"/>
              </w:rPr>
            </w:pPr>
            <w:r>
              <w:rPr>
                <w:kern w:val="0"/>
              </w:rPr>
              <w:t>2.57</w:t>
            </w:r>
          </w:p>
        </w:tc>
        <w:tc>
          <w:tcPr>
            <w:tcW w:w="846" w:type="dxa"/>
            <w:shd w:val="clear" w:color="auto" w:fill="auto"/>
            <w:vAlign w:val="center"/>
          </w:tcPr>
          <w:p>
            <w:pPr>
              <w:pStyle w:val="52"/>
              <w:jc w:val="center"/>
              <w:rPr>
                <w:kern w:val="0"/>
              </w:rPr>
            </w:pPr>
            <w:r>
              <w:rPr>
                <w:kern w:val="0"/>
              </w:rPr>
              <w:t>1.81</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制片管理</w:t>
            </w:r>
          </w:p>
        </w:tc>
        <w:tc>
          <w:tcPr>
            <w:tcW w:w="531" w:type="dxa"/>
            <w:shd w:val="clear" w:color="auto" w:fill="auto"/>
            <w:vAlign w:val="center"/>
          </w:tcPr>
          <w:p>
            <w:pPr>
              <w:pStyle w:val="52"/>
              <w:jc w:val="center"/>
              <w:rPr>
                <w:rFonts w:eastAsia="MingLiU"/>
                <w:kern w:val="0"/>
              </w:rPr>
            </w:pPr>
            <w:r>
              <w:rPr>
                <w:rFonts w:eastAsia="MingLiU"/>
                <w:kern w:val="0"/>
              </w:rPr>
              <w:t>14</w:t>
            </w:r>
          </w:p>
        </w:tc>
        <w:tc>
          <w:tcPr>
            <w:tcW w:w="636" w:type="dxa"/>
            <w:shd w:val="clear" w:color="auto" w:fill="auto"/>
            <w:vAlign w:val="center"/>
          </w:tcPr>
          <w:p>
            <w:pPr>
              <w:pStyle w:val="52"/>
              <w:jc w:val="center"/>
              <w:rPr>
                <w:kern w:val="0"/>
              </w:rPr>
            </w:pPr>
            <w:r>
              <w:rPr>
                <w:kern w:val="0"/>
              </w:rPr>
              <w:t>2.57</w:t>
            </w:r>
          </w:p>
        </w:tc>
        <w:tc>
          <w:tcPr>
            <w:tcW w:w="846" w:type="dxa"/>
            <w:shd w:val="clear" w:color="auto" w:fill="auto"/>
            <w:vAlign w:val="center"/>
          </w:tcPr>
          <w:p>
            <w:pPr>
              <w:pStyle w:val="52"/>
              <w:jc w:val="center"/>
              <w:rPr>
                <w:kern w:val="0"/>
              </w:rPr>
            </w:pPr>
            <w:r>
              <w:rPr>
                <w:kern w:val="0"/>
              </w:rPr>
              <w:t>3.06</w:t>
            </w:r>
          </w:p>
        </w:tc>
        <w:tc>
          <w:tcPr>
            <w:tcW w:w="636" w:type="dxa"/>
            <w:vAlign w:val="center"/>
          </w:tcPr>
          <w:p>
            <w:pPr>
              <w:pStyle w:val="52"/>
              <w:jc w:val="center"/>
              <w:rPr>
                <w:kern w:val="0"/>
              </w:rPr>
            </w:pPr>
            <w:r>
              <w:rPr>
                <w:kern w:val="0"/>
              </w:rPr>
              <w:t>1.00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531" w:type="dxa"/>
            <w:shd w:val="clear" w:color="auto" w:fill="auto"/>
            <w:vAlign w:val="center"/>
          </w:tcPr>
          <w:p>
            <w:pPr>
              <w:pStyle w:val="52"/>
              <w:jc w:val="center"/>
              <w:rPr>
                <w:rFonts w:eastAsia="MingLiU"/>
                <w:kern w:val="0"/>
              </w:rPr>
            </w:pPr>
            <w:r>
              <w:rPr>
                <w:rFonts w:eastAsia="MingLiU"/>
                <w:kern w:val="0"/>
              </w:rPr>
              <w:t>119</w:t>
            </w:r>
          </w:p>
        </w:tc>
        <w:tc>
          <w:tcPr>
            <w:tcW w:w="636" w:type="dxa"/>
            <w:shd w:val="clear" w:color="auto" w:fill="auto"/>
            <w:vAlign w:val="center"/>
          </w:tcPr>
          <w:p>
            <w:pPr>
              <w:pStyle w:val="52"/>
              <w:jc w:val="center"/>
              <w:rPr>
                <w:kern w:val="0"/>
              </w:rPr>
            </w:pPr>
            <w:r>
              <w:rPr>
                <w:kern w:val="0"/>
              </w:rPr>
              <w:t>2.92</w:t>
            </w:r>
          </w:p>
        </w:tc>
        <w:tc>
          <w:tcPr>
            <w:tcW w:w="846" w:type="dxa"/>
            <w:shd w:val="clear" w:color="auto" w:fill="auto"/>
            <w:vAlign w:val="center"/>
          </w:tcPr>
          <w:p>
            <w:pPr>
              <w:pStyle w:val="52"/>
              <w:jc w:val="center"/>
              <w:rPr>
                <w:kern w:val="0"/>
              </w:rPr>
            </w:pPr>
            <w:r>
              <w:rPr>
                <w:kern w:val="0"/>
              </w:rPr>
              <w:t>2.44</w:t>
            </w:r>
          </w:p>
        </w:tc>
        <w:tc>
          <w:tcPr>
            <w:tcW w:w="636" w:type="dxa"/>
            <w:vAlign w:val="center"/>
          </w:tcPr>
          <w:p>
            <w:pPr>
              <w:pStyle w:val="52"/>
              <w:jc w:val="center"/>
              <w:rPr>
                <w:kern w:val="0"/>
              </w:rPr>
            </w:pPr>
            <w:r>
              <w:rPr>
                <w:kern w:val="0"/>
              </w:rPr>
              <w:t>2.00</w:t>
            </w:r>
          </w:p>
        </w:tc>
        <w:tc>
          <w:tcPr>
            <w:tcW w:w="1056" w:type="dxa"/>
            <w:tcBorders>
              <w:right w:val="single" w:color="00B050" w:sz="8" w:space="0"/>
            </w:tcBorders>
            <w:shd w:val="clear" w:color="auto" w:fill="auto"/>
            <w:vAlign w:val="center"/>
          </w:tcPr>
          <w:p>
            <w:pPr>
              <w:pStyle w:val="52"/>
              <w:jc w:val="center"/>
              <w:rPr>
                <w:kern w:val="0"/>
              </w:rPr>
            </w:pPr>
          </w:p>
        </w:tc>
      </w:tr>
    </w:tbl>
    <w:p>
      <w:pPr>
        <w:pStyle w:val="52"/>
      </w:pPr>
    </w:p>
    <w:p>
      <w:pPr>
        <w:pStyle w:val="70"/>
      </w:pPr>
      <w:r>
        <w:rPr>
          <w:rFonts w:hint="eastAsia"/>
        </w:rPr>
        <w:t>（2）收到第一份录用通知的时间</w:t>
      </w:r>
    </w:p>
    <w:p>
      <w:pPr>
        <w:pStyle w:val="75"/>
      </w:pPr>
      <w:bookmarkStart w:id="162" w:name="PO_33332"/>
      <w:bookmarkEnd w:id="162"/>
      <w:r>
        <w:rPr>
          <w:rFonts w:hint="eastAsia"/>
        </w:rPr>
        <w:t>①总体情况</w:t>
      </w:r>
    </w:p>
    <w:p>
      <w:pPr>
        <w:pStyle w:val="37"/>
        <w:ind w:firstLine="480"/>
      </w:pPr>
      <w:r>
        <w:rPr>
          <w:rFonts w:hint="eastAsia"/>
        </w:rPr>
        <w:t>就收到第一份录用通知的时间而言，本科生平均在毕业前3.98个月拿到第一份录用通知，主要集中在2016年5月拿到第一个录取通知。</w:t>
      </w:r>
    </w:p>
    <w:p>
      <w:pPr>
        <w:pStyle w:val="53"/>
        <w:spacing w:before="312" w:after="156"/>
      </w:pPr>
      <w:r>
        <w:rPr>
          <w:rFonts w:hint="eastAsia"/>
        </w:rPr>
        <w:t>本科生收到第一份录用通知的时间</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95</w:t>
            </w:r>
          </w:p>
        </w:tc>
        <w:tc>
          <w:tcPr>
            <w:tcW w:w="1067" w:type="dxa"/>
            <w:vAlign w:val="center"/>
          </w:tcPr>
          <w:p>
            <w:pPr>
              <w:pStyle w:val="52"/>
              <w:jc w:val="center"/>
              <w:rPr>
                <w:kern w:val="0"/>
              </w:rPr>
            </w:pPr>
            <w:r>
              <w:rPr>
                <w:kern w:val="0"/>
              </w:rPr>
              <w:t>3.00</w:t>
            </w:r>
          </w:p>
        </w:tc>
        <w:tc>
          <w:tcPr>
            <w:tcW w:w="1067" w:type="dxa"/>
            <w:shd w:val="clear" w:color="auto" w:fill="auto"/>
            <w:vAlign w:val="center"/>
          </w:tcPr>
          <w:p>
            <w:pPr>
              <w:pStyle w:val="52"/>
              <w:jc w:val="center"/>
              <w:rPr>
                <w:kern w:val="0"/>
              </w:rPr>
            </w:pPr>
            <w:r>
              <w:rPr>
                <w:kern w:val="0"/>
              </w:rPr>
              <w:t>3.98</w:t>
            </w:r>
          </w:p>
        </w:tc>
        <w:tc>
          <w:tcPr>
            <w:tcW w:w="1068" w:type="dxa"/>
            <w:shd w:val="clear" w:color="auto" w:fill="auto"/>
            <w:vAlign w:val="center"/>
          </w:tcPr>
          <w:p>
            <w:pPr>
              <w:pStyle w:val="52"/>
              <w:jc w:val="center"/>
              <w:rPr>
                <w:kern w:val="0"/>
              </w:rPr>
            </w:pPr>
            <w:r>
              <w:rPr>
                <w:kern w:val="0"/>
              </w:rPr>
              <w:t>2.72</w:t>
            </w:r>
          </w:p>
        </w:tc>
      </w:tr>
    </w:tbl>
    <w:p>
      <w:pPr>
        <w:pStyle w:val="75"/>
      </w:pPr>
      <w:r>
        <w:rPr>
          <w:rFonts w:hint="eastAsia"/>
        </w:rPr>
        <w:t>②不同专业本科生收到第一份录用通知的时间</w:t>
      </w:r>
    </w:p>
    <w:p>
      <w:pPr>
        <w:pStyle w:val="37"/>
        <w:ind w:firstLine="480"/>
      </w:pPr>
      <w:r>
        <w:rPr>
          <w:rFonts w:hint="eastAsia"/>
        </w:rPr>
        <w:t>就专业而言，方差检验显示，不同专业的本科生拿到第一份录用通知的时间不存在显著性差异（F=1.05，p&gt;0.05）。</w:t>
      </w:r>
    </w:p>
    <w:p>
      <w:pPr>
        <w:jc w:val="center"/>
      </w:pPr>
      <w:r>
        <w:rPr>
          <w:rFonts w:hint="eastAsia"/>
        </w:rPr>
        <w:drawing>
          <wp:inline distT="0" distB="0" distL="0" distR="0">
            <wp:extent cx="5791200" cy="8305800"/>
            <wp:effectExtent l="19050" t="0" r="19050" b="0"/>
            <wp:docPr id="4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59"/>
        <w:spacing w:before="156" w:after="312"/>
      </w:pPr>
      <w:r>
        <w:rPr>
          <w:rFonts w:hint="eastAsia"/>
        </w:rPr>
        <w:t>不同专业本科生收到第一份录用通知的时间</w:t>
      </w:r>
    </w:p>
    <w:p>
      <w:pPr>
        <w:pStyle w:val="53"/>
        <w:spacing w:before="312" w:after="156"/>
      </w:pPr>
      <w:r>
        <w:rPr>
          <w:rFonts w:hint="eastAsia"/>
        </w:rPr>
        <w:t>本科生收到第一份录用通知的时间</w:t>
      </w:r>
    </w:p>
    <w:tbl>
      <w:tblPr>
        <w:tblStyle w:val="33"/>
        <w:tblW w:w="5502"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426"/>
        <w:gridCol w:w="636"/>
        <w:gridCol w:w="846"/>
        <w:gridCol w:w="636"/>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266" w:type="dxa"/>
            <w:tcBorders>
              <w:left w:val="dotted" w:color="00B050" w:sz="8" w:space="0"/>
            </w:tcBorders>
            <w:shd w:val="clear" w:color="auto" w:fill="auto"/>
            <w:vAlign w:val="center"/>
          </w:tcPr>
          <w:p>
            <w:pPr>
              <w:pStyle w:val="52"/>
              <w:jc w:val="left"/>
              <w:rPr>
                <w:kern w:val="0"/>
              </w:rPr>
            </w:pPr>
          </w:p>
        </w:tc>
        <w:tc>
          <w:tcPr>
            <w:tcW w:w="426" w:type="dxa"/>
            <w:shd w:val="clear" w:color="auto" w:fill="auto"/>
            <w:vAlign w:val="center"/>
          </w:tcPr>
          <w:p>
            <w:pPr>
              <w:pStyle w:val="52"/>
              <w:jc w:val="center"/>
              <w:rPr>
                <w:kern w:val="0"/>
              </w:rPr>
            </w:pPr>
            <w:r>
              <w:rPr>
                <w:rFonts w:eastAsia="MingLiU"/>
                <w:kern w:val="0"/>
              </w:rPr>
              <w:t>N</w:t>
            </w:r>
          </w:p>
        </w:tc>
        <w:tc>
          <w:tcPr>
            <w:tcW w:w="636" w:type="dxa"/>
            <w:shd w:val="clear" w:color="auto" w:fill="auto"/>
            <w:vAlign w:val="center"/>
          </w:tcPr>
          <w:p>
            <w:pPr>
              <w:pStyle w:val="52"/>
              <w:jc w:val="center"/>
              <w:rPr>
                <w:kern w:val="0"/>
              </w:rPr>
            </w:pPr>
            <w:r>
              <w:rPr>
                <w:rFonts w:hint="eastAsia"/>
                <w:kern w:val="0"/>
              </w:rPr>
              <w:t>均值</w:t>
            </w:r>
          </w:p>
        </w:tc>
        <w:tc>
          <w:tcPr>
            <w:tcW w:w="846" w:type="dxa"/>
            <w:shd w:val="clear" w:color="auto" w:fill="auto"/>
            <w:vAlign w:val="center"/>
          </w:tcPr>
          <w:p>
            <w:pPr>
              <w:pStyle w:val="52"/>
              <w:jc w:val="center"/>
              <w:rPr>
                <w:kern w:val="0"/>
              </w:rPr>
            </w:pPr>
            <w:r>
              <w:rPr>
                <w:rFonts w:hint="eastAsia"/>
                <w:kern w:val="0"/>
              </w:rPr>
              <w:t>标准差</w:t>
            </w:r>
          </w:p>
        </w:tc>
        <w:tc>
          <w:tcPr>
            <w:tcW w:w="636"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表演</w:t>
            </w:r>
          </w:p>
        </w:tc>
        <w:tc>
          <w:tcPr>
            <w:tcW w:w="426" w:type="dxa"/>
            <w:shd w:val="clear" w:color="auto" w:fill="auto"/>
            <w:vAlign w:val="center"/>
          </w:tcPr>
          <w:p>
            <w:pPr>
              <w:pStyle w:val="52"/>
              <w:jc w:val="center"/>
              <w:rPr>
                <w:rFonts w:eastAsia="MingLiU"/>
                <w:kern w:val="0"/>
              </w:rPr>
            </w:pPr>
            <w:r>
              <w:rPr>
                <w:rFonts w:eastAsia="MingLiU"/>
                <w:kern w:val="0"/>
              </w:rPr>
              <w:t>20</w:t>
            </w:r>
          </w:p>
        </w:tc>
        <w:tc>
          <w:tcPr>
            <w:tcW w:w="636" w:type="dxa"/>
            <w:shd w:val="clear" w:color="auto" w:fill="auto"/>
            <w:vAlign w:val="center"/>
          </w:tcPr>
          <w:p>
            <w:pPr>
              <w:pStyle w:val="52"/>
              <w:jc w:val="center"/>
              <w:rPr>
                <w:kern w:val="0"/>
              </w:rPr>
            </w:pPr>
            <w:r>
              <w:rPr>
                <w:kern w:val="0"/>
              </w:rPr>
              <w:t>3.30</w:t>
            </w:r>
          </w:p>
        </w:tc>
        <w:tc>
          <w:tcPr>
            <w:tcW w:w="846" w:type="dxa"/>
            <w:shd w:val="clear" w:color="auto" w:fill="auto"/>
            <w:vAlign w:val="center"/>
          </w:tcPr>
          <w:p>
            <w:pPr>
              <w:pStyle w:val="52"/>
              <w:jc w:val="center"/>
              <w:rPr>
                <w:kern w:val="0"/>
              </w:rPr>
            </w:pPr>
            <w:r>
              <w:rPr>
                <w:kern w:val="0"/>
              </w:rPr>
              <w:t>1.34</w:t>
            </w:r>
          </w:p>
        </w:tc>
        <w:tc>
          <w:tcPr>
            <w:tcW w:w="636" w:type="dxa"/>
            <w:vAlign w:val="center"/>
          </w:tcPr>
          <w:p>
            <w:pPr>
              <w:pStyle w:val="52"/>
              <w:jc w:val="center"/>
              <w:rPr>
                <w:kern w:val="0"/>
              </w:rPr>
            </w:pPr>
            <w:r>
              <w:rPr>
                <w:kern w:val="0"/>
              </w:rPr>
              <w:t>3.50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F=1.05</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播音与主持</w:t>
            </w:r>
          </w:p>
        </w:tc>
        <w:tc>
          <w:tcPr>
            <w:tcW w:w="426" w:type="dxa"/>
            <w:shd w:val="clear" w:color="auto" w:fill="auto"/>
            <w:vAlign w:val="center"/>
          </w:tcPr>
          <w:p>
            <w:pPr>
              <w:pStyle w:val="52"/>
              <w:jc w:val="center"/>
              <w:rPr>
                <w:rFonts w:eastAsia="MingLiU"/>
                <w:kern w:val="0"/>
              </w:rPr>
            </w:pPr>
            <w:r>
              <w:rPr>
                <w:rFonts w:eastAsia="MingLiU"/>
                <w:kern w:val="0"/>
              </w:rPr>
              <w:t>12</w:t>
            </w:r>
          </w:p>
        </w:tc>
        <w:tc>
          <w:tcPr>
            <w:tcW w:w="636" w:type="dxa"/>
            <w:shd w:val="clear" w:color="auto" w:fill="auto"/>
            <w:vAlign w:val="center"/>
          </w:tcPr>
          <w:p>
            <w:pPr>
              <w:pStyle w:val="52"/>
              <w:jc w:val="center"/>
              <w:rPr>
                <w:kern w:val="0"/>
              </w:rPr>
            </w:pPr>
            <w:r>
              <w:rPr>
                <w:kern w:val="0"/>
              </w:rPr>
              <w:t>3.92</w:t>
            </w:r>
          </w:p>
        </w:tc>
        <w:tc>
          <w:tcPr>
            <w:tcW w:w="846" w:type="dxa"/>
            <w:shd w:val="clear" w:color="auto" w:fill="auto"/>
            <w:vAlign w:val="center"/>
          </w:tcPr>
          <w:p>
            <w:pPr>
              <w:pStyle w:val="52"/>
              <w:jc w:val="center"/>
              <w:rPr>
                <w:kern w:val="0"/>
              </w:rPr>
            </w:pPr>
            <w:r>
              <w:rPr>
                <w:kern w:val="0"/>
              </w:rPr>
              <w:t>3.06</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导演</w:t>
            </w:r>
          </w:p>
        </w:tc>
        <w:tc>
          <w:tcPr>
            <w:tcW w:w="426"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1.67</w:t>
            </w:r>
          </w:p>
        </w:tc>
        <w:tc>
          <w:tcPr>
            <w:tcW w:w="846" w:type="dxa"/>
            <w:shd w:val="clear" w:color="auto" w:fill="auto"/>
            <w:vAlign w:val="center"/>
          </w:tcPr>
          <w:p>
            <w:pPr>
              <w:pStyle w:val="52"/>
              <w:jc w:val="center"/>
              <w:rPr>
                <w:kern w:val="0"/>
              </w:rPr>
            </w:pPr>
            <w:r>
              <w:rPr>
                <w:kern w:val="0"/>
              </w:rPr>
              <w:t>0.58</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电视剧创作</w:t>
            </w:r>
          </w:p>
        </w:tc>
        <w:tc>
          <w:tcPr>
            <w:tcW w:w="426"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5.33</w:t>
            </w:r>
          </w:p>
        </w:tc>
        <w:tc>
          <w:tcPr>
            <w:tcW w:w="846" w:type="dxa"/>
            <w:shd w:val="clear" w:color="auto" w:fill="auto"/>
            <w:vAlign w:val="center"/>
          </w:tcPr>
          <w:p>
            <w:pPr>
              <w:pStyle w:val="52"/>
              <w:jc w:val="center"/>
              <w:rPr>
                <w:kern w:val="0"/>
              </w:rPr>
            </w:pPr>
            <w:r>
              <w:rPr>
                <w:kern w:val="0"/>
              </w:rPr>
              <w:t>3.21</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舞台灯光</w:t>
            </w:r>
          </w:p>
        </w:tc>
        <w:tc>
          <w:tcPr>
            <w:tcW w:w="426"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4.67</w:t>
            </w:r>
          </w:p>
        </w:tc>
        <w:tc>
          <w:tcPr>
            <w:tcW w:w="846" w:type="dxa"/>
            <w:shd w:val="clear" w:color="auto" w:fill="auto"/>
            <w:vAlign w:val="center"/>
          </w:tcPr>
          <w:p>
            <w:pPr>
              <w:pStyle w:val="52"/>
              <w:jc w:val="center"/>
              <w:rPr>
                <w:kern w:val="0"/>
              </w:rPr>
            </w:pPr>
            <w:r>
              <w:rPr>
                <w:kern w:val="0"/>
              </w:rPr>
              <w:t>2.08</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舞台服装</w:t>
            </w:r>
          </w:p>
        </w:tc>
        <w:tc>
          <w:tcPr>
            <w:tcW w:w="426" w:type="dxa"/>
            <w:shd w:val="clear" w:color="auto" w:fill="auto"/>
            <w:vAlign w:val="center"/>
          </w:tcPr>
          <w:p>
            <w:pPr>
              <w:pStyle w:val="52"/>
              <w:jc w:val="center"/>
              <w:rPr>
                <w:rFonts w:eastAsia="MingLiU"/>
                <w:kern w:val="0"/>
              </w:rPr>
            </w:pPr>
            <w:r>
              <w:rPr>
                <w:rFonts w:eastAsia="MingLiU"/>
                <w:kern w:val="0"/>
              </w:rPr>
              <w:t>2</w:t>
            </w:r>
          </w:p>
        </w:tc>
        <w:tc>
          <w:tcPr>
            <w:tcW w:w="636" w:type="dxa"/>
            <w:shd w:val="clear" w:color="auto" w:fill="auto"/>
            <w:vAlign w:val="center"/>
          </w:tcPr>
          <w:p>
            <w:pPr>
              <w:pStyle w:val="52"/>
              <w:jc w:val="center"/>
              <w:rPr>
                <w:kern w:val="0"/>
              </w:rPr>
            </w:pPr>
            <w:r>
              <w:rPr>
                <w:kern w:val="0"/>
              </w:rPr>
              <w:t>1.00</w:t>
            </w:r>
          </w:p>
        </w:tc>
        <w:tc>
          <w:tcPr>
            <w:tcW w:w="846" w:type="dxa"/>
            <w:shd w:val="clear" w:color="auto" w:fill="auto"/>
            <w:vAlign w:val="center"/>
          </w:tcPr>
          <w:p>
            <w:pPr>
              <w:pStyle w:val="52"/>
              <w:jc w:val="center"/>
              <w:rPr>
                <w:kern w:val="0"/>
              </w:rPr>
            </w:pPr>
            <w:r>
              <w:rPr>
                <w:kern w:val="0"/>
              </w:rPr>
              <w:t>0.00</w:t>
            </w:r>
          </w:p>
        </w:tc>
        <w:tc>
          <w:tcPr>
            <w:tcW w:w="636" w:type="dxa"/>
            <w:vAlign w:val="center"/>
          </w:tcPr>
          <w:p>
            <w:pPr>
              <w:pStyle w:val="52"/>
              <w:jc w:val="center"/>
              <w:rPr>
                <w:kern w:val="0"/>
              </w:rPr>
            </w:pPr>
            <w:r>
              <w:rPr>
                <w:kern w:val="0"/>
              </w:rPr>
              <w:t>1.00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舞台化装</w:t>
            </w:r>
          </w:p>
        </w:tc>
        <w:tc>
          <w:tcPr>
            <w:tcW w:w="426" w:type="dxa"/>
            <w:shd w:val="clear" w:color="auto" w:fill="auto"/>
            <w:vAlign w:val="center"/>
          </w:tcPr>
          <w:p>
            <w:pPr>
              <w:pStyle w:val="52"/>
              <w:jc w:val="center"/>
              <w:rPr>
                <w:rFonts w:eastAsia="MingLiU"/>
                <w:kern w:val="0"/>
              </w:rPr>
            </w:pPr>
            <w:r>
              <w:rPr>
                <w:rFonts w:eastAsia="MingLiU"/>
                <w:kern w:val="0"/>
              </w:rPr>
              <w:t>3</w:t>
            </w:r>
          </w:p>
        </w:tc>
        <w:tc>
          <w:tcPr>
            <w:tcW w:w="636" w:type="dxa"/>
            <w:shd w:val="clear" w:color="auto" w:fill="auto"/>
            <w:vAlign w:val="center"/>
          </w:tcPr>
          <w:p>
            <w:pPr>
              <w:pStyle w:val="52"/>
              <w:jc w:val="center"/>
              <w:rPr>
                <w:kern w:val="0"/>
              </w:rPr>
            </w:pPr>
            <w:r>
              <w:rPr>
                <w:kern w:val="0"/>
              </w:rPr>
              <w:t>4.67</w:t>
            </w:r>
          </w:p>
        </w:tc>
        <w:tc>
          <w:tcPr>
            <w:tcW w:w="846" w:type="dxa"/>
            <w:shd w:val="clear" w:color="auto" w:fill="auto"/>
            <w:vAlign w:val="center"/>
          </w:tcPr>
          <w:p>
            <w:pPr>
              <w:pStyle w:val="52"/>
              <w:jc w:val="center"/>
              <w:rPr>
                <w:kern w:val="0"/>
              </w:rPr>
            </w:pPr>
            <w:r>
              <w:rPr>
                <w:kern w:val="0"/>
              </w:rPr>
              <w:t>4.73</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舞台绘景</w:t>
            </w:r>
          </w:p>
        </w:tc>
        <w:tc>
          <w:tcPr>
            <w:tcW w:w="426" w:type="dxa"/>
            <w:shd w:val="clear" w:color="auto" w:fill="auto"/>
            <w:vAlign w:val="center"/>
          </w:tcPr>
          <w:p>
            <w:pPr>
              <w:pStyle w:val="52"/>
              <w:jc w:val="center"/>
              <w:rPr>
                <w:rFonts w:eastAsia="MingLiU"/>
                <w:kern w:val="0"/>
              </w:rPr>
            </w:pPr>
            <w:r>
              <w:rPr>
                <w:rFonts w:eastAsia="MingLiU"/>
                <w:kern w:val="0"/>
              </w:rPr>
              <w:t>5</w:t>
            </w:r>
          </w:p>
        </w:tc>
        <w:tc>
          <w:tcPr>
            <w:tcW w:w="636" w:type="dxa"/>
            <w:shd w:val="clear" w:color="auto" w:fill="auto"/>
            <w:vAlign w:val="center"/>
          </w:tcPr>
          <w:p>
            <w:pPr>
              <w:pStyle w:val="52"/>
              <w:jc w:val="center"/>
              <w:rPr>
                <w:kern w:val="0"/>
              </w:rPr>
            </w:pPr>
            <w:r>
              <w:rPr>
                <w:kern w:val="0"/>
              </w:rPr>
              <w:t>3.40</w:t>
            </w:r>
          </w:p>
        </w:tc>
        <w:tc>
          <w:tcPr>
            <w:tcW w:w="846" w:type="dxa"/>
            <w:shd w:val="clear" w:color="auto" w:fill="auto"/>
            <w:vAlign w:val="center"/>
          </w:tcPr>
          <w:p>
            <w:pPr>
              <w:pStyle w:val="52"/>
              <w:jc w:val="center"/>
              <w:rPr>
                <w:kern w:val="0"/>
              </w:rPr>
            </w:pPr>
            <w:r>
              <w:rPr>
                <w:kern w:val="0"/>
              </w:rPr>
              <w:t>2.30</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戏剧创作</w:t>
            </w:r>
          </w:p>
        </w:tc>
        <w:tc>
          <w:tcPr>
            <w:tcW w:w="426" w:type="dxa"/>
            <w:shd w:val="clear" w:color="auto" w:fill="auto"/>
            <w:vAlign w:val="center"/>
          </w:tcPr>
          <w:p>
            <w:pPr>
              <w:pStyle w:val="52"/>
              <w:jc w:val="center"/>
              <w:rPr>
                <w:rFonts w:eastAsia="MingLiU"/>
                <w:kern w:val="0"/>
              </w:rPr>
            </w:pPr>
            <w:r>
              <w:rPr>
                <w:rFonts w:eastAsia="MingLiU"/>
                <w:kern w:val="0"/>
              </w:rPr>
              <w:t>7</w:t>
            </w:r>
          </w:p>
        </w:tc>
        <w:tc>
          <w:tcPr>
            <w:tcW w:w="636" w:type="dxa"/>
            <w:shd w:val="clear" w:color="auto" w:fill="auto"/>
            <w:vAlign w:val="center"/>
          </w:tcPr>
          <w:p>
            <w:pPr>
              <w:pStyle w:val="52"/>
              <w:jc w:val="center"/>
              <w:rPr>
                <w:kern w:val="0"/>
              </w:rPr>
            </w:pPr>
            <w:r>
              <w:rPr>
                <w:kern w:val="0"/>
              </w:rPr>
              <w:t>3.43</w:t>
            </w:r>
          </w:p>
        </w:tc>
        <w:tc>
          <w:tcPr>
            <w:tcW w:w="846" w:type="dxa"/>
            <w:shd w:val="clear" w:color="auto" w:fill="auto"/>
            <w:vAlign w:val="center"/>
          </w:tcPr>
          <w:p>
            <w:pPr>
              <w:pStyle w:val="52"/>
              <w:jc w:val="center"/>
              <w:rPr>
                <w:kern w:val="0"/>
              </w:rPr>
            </w:pPr>
            <w:r>
              <w:rPr>
                <w:kern w:val="0"/>
              </w:rPr>
              <w:t>1.62</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戏剧学</w:t>
            </w:r>
          </w:p>
        </w:tc>
        <w:tc>
          <w:tcPr>
            <w:tcW w:w="426" w:type="dxa"/>
            <w:shd w:val="clear" w:color="auto" w:fill="auto"/>
            <w:vAlign w:val="center"/>
          </w:tcPr>
          <w:p>
            <w:pPr>
              <w:pStyle w:val="52"/>
              <w:jc w:val="center"/>
              <w:rPr>
                <w:rFonts w:eastAsia="MingLiU"/>
                <w:kern w:val="0"/>
              </w:rPr>
            </w:pPr>
            <w:r>
              <w:rPr>
                <w:rFonts w:eastAsia="MingLiU"/>
                <w:kern w:val="0"/>
              </w:rPr>
              <w:t>11</w:t>
            </w:r>
          </w:p>
        </w:tc>
        <w:tc>
          <w:tcPr>
            <w:tcW w:w="636" w:type="dxa"/>
            <w:shd w:val="clear" w:color="auto" w:fill="auto"/>
            <w:vAlign w:val="center"/>
          </w:tcPr>
          <w:p>
            <w:pPr>
              <w:pStyle w:val="52"/>
              <w:jc w:val="center"/>
              <w:rPr>
                <w:kern w:val="0"/>
              </w:rPr>
            </w:pPr>
            <w:r>
              <w:rPr>
                <w:kern w:val="0"/>
              </w:rPr>
              <w:t>4.27</w:t>
            </w:r>
          </w:p>
        </w:tc>
        <w:tc>
          <w:tcPr>
            <w:tcW w:w="846" w:type="dxa"/>
            <w:shd w:val="clear" w:color="auto" w:fill="auto"/>
            <w:vAlign w:val="center"/>
          </w:tcPr>
          <w:p>
            <w:pPr>
              <w:pStyle w:val="52"/>
              <w:jc w:val="center"/>
              <w:rPr>
                <w:kern w:val="0"/>
              </w:rPr>
            </w:pPr>
            <w:r>
              <w:rPr>
                <w:kern w:val="0"/>
              </w:rPr>
              <w:t>2.90</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演出制作</w:t>
            </w:r>
          </w:p>
        </w:tc>
        <w:tc>
          <w:tcPr>
            <w:tcW w:w="426" w:type="dxa"/>
            <w:shd w:val="clear" w:color="auto" w:fill="auto"/>
            <w:vAlign w:val="center"/>
          </w:tcPr>
          <w:p>
            <w:pPr>
              <w:pStyle w:val="52"/>
              <w:jc w:val="center"/>
              <w:rPr>
                <w:rFonts w:eastAsia="MingLiU"/>
                <w:kern w:val="0"/>
              </w:rPr>
            </w:pPr>
            <w:r>
              <w:rPr>
                <w:rFonts w:eastAsia="MingLiU"/>
                <w:kern w:val="0"/>
              </w:rPr>
              <w:t>10</w:t>
            </w:r>
          </w:p>
        </w:tc>
        <w:tc>
          <w:tcPr>
            <w:tcW w:w="636" w:type="dxa"/>
            <w:shd w:val="clear" w:color="auto" w:fill="auto"/>
            <w:vAlign w:val="center"/>
          </w:tcPr>
          <w:p>
            <w:pPr>
              <w:pStyle w:val="52"/>
              <w:jc w:val="center"/>
              <w:rPr>
                <w:kern w:val="0"/>
              </w:rPr>
            </w:pPr>
            <w:r>
              <w:rPr>
                <w:kern w:val="0"/>
              </w:rPr>
              <w:t>5.40</w:t>
            </w:r>
          </w:p>
        </w:tc>
        <w:tc>
          <w:tcPr>
            <w:tcW w:w="846" w:type="dxa"/>
            <w:shd w:val="clear" w:color="auto" w:fill="auto"/>
            <w:vAlign w:val="center"/>
          </w:tcPr>
          <w:p>
            <w:pPr>
              <w:pStyle w:val="52"/>
              <w:jc w:val="center"/>
              <w:rPr>
                <w:kern w:val="0"/>
              </w:rPr>
            </w:pPr>
            <w:r>
              <w:rPr>
                <w:kern w:val="0"/>
              </w:rPr>
              <w:t>3.81</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影视编导</w:t>
            </w:r>
          </w:p>
        </w:tc>
        <w:tc>
          <w:tcPr>
            <w:tcW w:w="426" w:type="dxa"/>
            <w:shd w:val="clear" w:color="auto" w:fill="auto"/>
            <w:vAlign w:val="center"/>
          </w:tcPr>
          <w:p>
            <w:pPr>
              <w:pStyle w:val="52"/>
              <w:jc w:val="center"/>
              <w:rPr>
                <w:rFonts w:eastAsia="MingLiU"/>
                <w:kern w:val="0"/>
              </w:rPr>
            </w:pPr>
            <w:r>
              <w:rPr>
                <w:rFonts w:eastAsia="MingLiU"/>
                <w:kern w:val="0"/>
              </w:rPr>
              <w:t>5</w:t>
            </w:r>
          </w:p>
        </w:tc>
        <w:tc>
          <w:tcPr>
            <w:tcW w:w="636" w:type="dxa"/>
            <w:shd w:val="clear" w:color="auto" w:fill="auto"/>
            <w:vAlign w:val="center"/>
          </w:tcPr>
          <w:p>
            <w:pPr>
              <w:pStyle w:val="52"/>
              <w:jc w:val="center"/>
              <w:rPr>
                <w:kern w:val="0"/>
              </w:rPr>
            </w:pPr>
            <w:r>
              <w:rPr>
                <w:kern w:val="0"/>
              </w:rPr>
              <w:t>3.20</w:t>
            </w:r>
          </w:p>
        </w:tc>
        <w:tc>
          <w:tcPr>
            <w:tcW w:w="846" w:type="dxa"/>
            <w:shd w:val="clear" w:color="auto" w:fill="auto"/>
            <w:vAlign w:val="center"/>
          </w:tcPr>
          <w:p>
            <w:pPr>
              <w:pStyle w:val="52"/>
              <w:jc w:val="center"/>
              <w:rPr>
                <w:kern w:val="0"/>
              </w:rPr>
            </w:pPr>
            <w:r>
              <w:rPr>
                <w:kern w:val="0"/>
              </w:rPr>
              <w:t>2.49</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制片管理</w:t>
            </w:r>
          </w:p>
        </w:tc>
        <w:tc>
          <w:tcPr>
            <w:tcW w:w="426" w:type="dxa"/>
            <w:shd w:val="clear" w:color="auto" w:fill="auto"/>
            <w:vAlign w:val="center"/>
          </w:tcPr>
          <w:p>
            <w:pPr>
              <w:pStyle w:val="52"/>
              <w:jc w:val="center"/>
              <w:rPr>
                <w:rFonts w:eastAsia="MingLiU"/>
                <w:kern w:val="0"/>
              </w:rPr>
            </w:pPr>
            <w:r>
              <w:rPr>
                <w:rFonts w:eastAsia="MingLiU"/>
                <w:kern w:val="0"/>
              </w:rPr>
              <w:t>11</w:t>
            </w:r>
          </w:p>
        </w:tc>
        <w:tc>
          <w:tcPr>
            <w:tcW w:w="636" w:type="dxa"/>
            <w:shd w:val="clear" w:color="auto" w:fill="auto"/>
            <w:vAlign w:val="center"/>
          </w:tcPr>
          <w:p>
            <w:pPr>
              <w:pStyle w:val="52"/>
              <w:jc w:val="center"/>
              <w:rPr>
                <w:kern w:val="0"/>
              </w:rPr>
            </w:pPr>
            <w:r>
              <w:rPr>
                <w:kern w:val="0"/>
              </w:rPr>
              <w:t>5.09</w:t>
            </w:r>
          </w:p>
        </w:tc>
        <w:tc>
          <w:tcPr>
            <w:tcW w:w="846" w:type="dxa"/>
            <w:shd w:val="clear" w:color="auto" w:fill="auto"/>
            <w:vAlign w:val="center"/>
          </w:tcPr>
          <w:p>
            <w:pPr>
              <w:pStyle w:val="52"/>
              <w:jc w:val="center"/>
              <w:rPr>
                <w:kern w:val="0"/>
              </w:rPr>
            </w:pPr>
            <w:r>
              <w:rPr>
                <w:kern w:val="0"/>
              </w:rPr>
              <w:t>3.42</w:t>
            </w:r>
          </w:p>
        </w:tc>
        <w:tc>
          <w:tcPr>
            <w:tcW w:w="636" w:type="dxa"/>
            <w:vAlign w:val="center"/>
          </w:tcPr>
          <w:p>
            <w:pPr>
              <w:pStyle w:val="52"/>
              <w:jc w:val="center"/>
              <w:rPr>
                <w:kern w:val="0"/>
              </w:rPr>
            </w:pPr>
            <w:r>
              <w:rPr>
                <w:kern w:val="0"/>
              </w:rPr>
              <w:t>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426" w:type="dxa"/>
            <w:shd w:val="clear" w:color="auto" w:fill="auto"/>
            <w:vAlign w:val="center"/>
          </w:tcPr>
          <w:p>
            <w:pPr>
              <w:pStyle w:val="52"/>
              <w:jc w:val="center"/>
              <w:rPr>
                <w:rFonts w:eastAsia="MingLiU"/>
                <w:kern w:val="0"/>
              </w:rPr>
            </w:pPr>
            <w:r>
              <w:rPr>
                <w:rFonts w:eastAsia="MingLiU"/>
                <w:kern w:val="0"/>
              </w:rPr>
              <w:t>95</w:t>
            </w:r>
          </w:p>
        </w:tc>
        <w:tc>
          <w:tcPr>
            <w:tcW w:w="636" w:type="dxa"/>
            <w:shd w:val="clear" w:color="auto" w:fill="auto"/>
            <w:vAlign w:val="center"/>
          </w:tcPr>
          <w:p>
            <w:pPr>
              <w:pStyle w:val="52"/>
              <w:jc w:val="center"/>
              <w:rPr>
                <w:kern w:val="0"/>
              </w:rPr>
            </w:pPr>
            <w:r>
              <w:rPr>
                <w:kern w:val="0"/>
              </w:rPr>
              <w:t>3.98</w:t>
            </w:r>
          </w:p>
        </w:tc>
        <w:tc>
          <w:tcPr>
            <w:tcW w:w="846" w:type="dxa"/>
            <w:shd w:val="clear" w:color="auto" w:fill="auto"/>
            <w:vAlign w:val="center"/>
          </w:tcPr>
          <w:p>
            <w:pPr>
              <w:pStyle w:val="52"/>
              <w:jc w:val="center"/>
              <w:rPr>
                <w:kern w:val="0"/>
              </w:rPr>
            </w:pPr>
            <w:r>
              <w:rPr>
                <w:kern w:val="0"/>
              </w:rPr>
              <w:t>2.72</w:t>
            </w:r>
          </w:p>
        </w:tc>
        <w:tc>
          <w:tcPr>
            <w:tcW w:w="636" w:type="dxa"/>
            <w:vAlign w:val="center"/>
          </w:tcPr>
          <w:p>
            <w:pPr>
              <w:pStyle w:val="52"/>
              <w:jc w:val="center"/>
              <w:rPr>
                <w:kern w:val="0"/>
              </w:rPr>
            </w:pPr>
            <w:r>
              <w:rPr>
                <w:kern w:val="0"/>
              </w:rPr>
              <w:t>3.00</w:t>
            </w:r>
          </w:p>
        </w:tc>
        <w:tc>
          <w:tcPr>
            <w:tcW w:w="1056" w:type="dxa"/>
            <w:tcBorders>
              <w:right w:val="single" w:color="00B050" w:sz="8" w:space="0"/>
            </w:tcBorders>
            <w:shd w:val="clear" w:color="auto" w:fill="auto"/>
            <w:vAlign w:val="center"/>
          </w:tcPr>
          <w:p>
            <w:pPr>
              <w:pStyle w:val="52"/>
              <w:jc w:val="center"/>
              <w:rPr>
                <w:kern w:val="0"/>
              </w:rPr>
            </w:pPr>
          </w:p>
        </w:tc>
      </w:tr>
    </w:tbl>
    <w:p>
      <w:pPr>
        <w:pStyle w:val="52"/>
      </w:pPr>
    </w:p>
    <w:p>
      <w:pPr>
        <w:pStyle w:val="67"/>
      </w:pPr>
      <w:bookmarkStart w:id="163" w:name="_Toc470167408"/>
      <w:r>
        <w:rPr>
          <w:rFonts w:hint="eastAsia"/>
        </w:rPr>
        <w:t>4、</w:t>
      </w:r>
      <w:r>
        <w:t>求职花费</w:t>
      </w:r>
      <w:bookmarkEnd w:id="163"/>
    </w:p>
    <w:p>
      <w:pPr>
        <w:pStyle w:val="70"/>
      </w:pPr>
      <w:bookmarkStart w:id="164" w:name="PO_3334"/>
      <w:bookmarkEnd w:id="164"/>
      <w:r>
        <w:rPr>
          <w:rFonts w:hint="eastAsia"/>
        </w:rPr>
        <w:t>（1）总体情况</w:t>
      </w:r>
    </w:p>
    <w:p>
      <w:pPr>
        <w:pStyle w:val="37"/>
        <w:ind w:firstLine="480"/>
      </w:pPr>
      <w:r>
        <w:rPr>
          <w:rFonts w:hint="eastAsia"/>
        </w:rPr>
        <w:t>调查显示，本科生用于求职的花费平均为1481.34元。</w:t>
      </w:r>
    </w:p>
    <w:p>
      <w:pPr>
        <w:pStyle w:val="53"/>
        <w:spacing w:before="312" w:after="156"/>
      </w:pPr>
      <w:r>
        <w:rPr>
          <w:rFonts w:hint="eastAsia"/>
        </w:rPr>
        <w:t>本科生求职花费</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114</w:t>
            </w:r>
          </w:p>
        </w:tc>
        <w:tc>
          <w:tcPr>
            <w:tcW w:w="1067" w:type="dxa"/>
            <w:vAlign w:val="center"/>
          </w:tcPr>
          <w:p>
            <w:pPr>
              <w:pStyle w:val="52"/>
              <w:jc w:val="center"/>
              <w:rPr>
                <w:kern w:val="0"/>
              </w:rPr>
            </w:pPr>
            <w:r>
              <w:rPr>
                <w:kern w:val="0"/>
              </w:rPr>
              <w:t>500.00</w:t>
            </w:r>
          </w:p>
        </w:tc>
        <w:tc>
          <w:tcPr>
            <w:tcW w:w="1067" w:type="dxa"/>
            <w:shd w:val="clear" w:color="auto" w:fill="auto"/>
            <w:vAlign w:val="center"/>
          </w:tcPr>
          <w:p>
            <w:pPr>
              <w:pStyle w:val="52"/>
              <w:jc w:val="center"/>
              <w:rPr>
                <w:kern w:val="0"/>
              </w:rPr>
            </w:pPr>
            <w:r>
              <w:rPr>
                <w:kern w:val="0"/>
              </w:rPr>
              <w:t>1481.34</w:t>
            </w:r>
          </w:p>
        </w:tc>
        <w:tc>
          <w:tcPr>
            <w:tcW w:w="1068" w:type="dxa"/>
            <w:shd w:val="clear" w:color="auto" w:fill="auto"/>
            <w:vAlign w:val="center"/>
          </w:tcPr>
          <w:p>
            <w:pPr>
              <w:pStyle w:val="52"/>
              <w:jc w:val="center"/>
              <w:rPr>
                <w:kern w:val="0"/>
              </w:rPr>
            </w:pPr>
            <w:r>
              <w:rPr>
                <w:kern w:val="0"/>
              </w:rPr>
              <w:t>2226.68</w:t>
            </w:r>
          </w:p>
        </w:tc>
      </w:tr>
    </w:tbl>
    <w:p>
      <w:pPr>
        <w:pStyle w:val="70"/>
      </w:pPr>
      <w:r>
        <w:rPr>
          <w:rFonts w:hint="eastAsia"/>
        </w:rPr>
        <w:t>（2）不同专业本科生求职花费</w:t>
      </w:r>
    </w:p>
    <w:p>
      <w:pPr>
        <w:pStyle w:val="37"/>
        <w:ind w:firstLine="480"/>
      </w:pPr>
      <w:r>
        <w:rPr>
          <w:rFonts w:hint="eastAsia"/>
        </w:rPr>
        <w:t>就专业而言，方差检验显示，不同专业的本科生的求职花费不存在显著性差异（F=1.44，p&gt;0.05）。</w:t>
      </w:r>
    </w:p>
    <w:p>
      <w:pPr>
        <w:jc w:val="center"/>
      </w:pPr>
      <w:r>
        <w:rPr>
          <w:rFonts w:hint="eastAsia"/>
        </w:rPr>
        <w:drawing>
          <wp:inline distT="0" distB="0" distL="0" distR="0">
            <wp:extent cx="5791200" cy="8305800"/>
            <wp:effectExtent l="19050" t="0" r="19050" b="0"/>
            <wp:docPr id="4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59"/>
        <w:spacing w:before="156" w:after="312"/>
      </w:pPr>
      <w:r>
        <w:rPr>
          <w:rFonts w:hint="eastAsia"/>
        </w:rPr>
        <w:t>不同专业本科生求职花费</w:t>
      </w:r>
    </w:p>
    <w:p>
      <w:pPr>
        <w:pStyle w:val="53"/>
        <w:spacing w:before="312" w:after="156"/>
      </w:pPr>
      <w:r>
        <w:rPr>
          <w:rFonts w:hint="eastAsia"/>
        </w:rPr>
        <w:t>本科生求职花费</w:t>
      </w:r>
    </w:p>
    <w:tbl>
      <w:tblPr>
        <w:tblStyle w:val="33"/>
        <w:tblW w:w="6186"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266"/>
        <w:gridCol w:w="531"/>
        <w:gridCol w:w="899"/>
        <w:gridCol w:w="899"/>
        <w:gridCol w:w="899"/>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266" w:type="dxa"/>
            <w:tcBorders>
              <w:left w:val="dotted" w:color="00B050" w:sz="8" w:space="0"/>
            </w:tcBorders>
            <w:shd w:val="clear" w:color="auto" w:fill="auto"/>
            <w:vAlign w:val="center"/>
          </w:tcPr>
          <w:p>
            <w:pPr>
              <w:pStyle w:val="52"/>
              <w:jc w:val="left"/>
              <w:rPr>
                <w:kern w:val="0"/>
              </w:rPr>
            </w:pPr>
          </w:p>
        </w:tc>
        <w:tc>
          <w:tcPr>
            <w:tcW w:w="531" w:type="dxa"/>
            <w:shd w:val="clear" w:color="auto" w:fill="auto"/>
            <w:vAlign w:val="center"/>
          </w:tcPr>
          <w:p>
            <w:pPr>
              <w:pStyle w:val="52"/>
              <w:jc w:val="center"/>
              <w:rPr>
                <w:kern w:val="0"/>
              </w:rPr>
            </w:pPr>
            <w:r>
              <w:rPr>
                <w:rFonts w:eastAsia="MingLiU"/>
                <w:kern w:val="0"/>
              </w:rPr>
              <w:t>N</w:t>
            </w:r>
          </w:p>
        </w:tc>
        <w:tc>
          <w:tcPr>
            <w:tcW w:w="899" w:type="dxa"/>
            <w:shd w:val="clear" w:color="auto" w:fill="auto"/>
            <w:vAlign w:val="center"/>
          </w:tcPr>
          <w:p>
            <w:pPr>
              <w:pStyle w:val="52"/>
              <w:jc w:val="center"/>
              <w:rPr>
                <w:kern w:val="0"/>
              </w:rPr>
            </w:pPr>
            <w:r>
              <w:rPr>
                <w:rFonts w:hint="eastAsia"/>
                <w:kern w:val="0"/>
              </w:rPr>
              <w:t>均值</w:t>
            </w:r>
          </w:p>
        </w:tc>
        <w:tc>
          <w:tcPr>
            <w:tcW w:w="899" w:type="dxa"/>
            <w:shd w:val="clear" w:color="auto" w:fill="auto"/>
            <w:vAlign w:val="center"/>
          </w:tcPr>
          <w:p>
            <w:pPr>
              <w:pStyle w:val="52"/>
              <w:jc w:val="center"/>
              <w:rPr>
                <w:kern w:val="0"/>
              </w:rPr>
            </w:pPr>
            <w:r>
              <w:rPr>
                <w:rFonts w:hint="eastAsia"/>
                <w:kern w:val="0"/>
              </w:rPr>
              <w:t>标准差</w:t>
            </w:r>
          </w:p>
        </w:tc>
        <w:tc>
          <w:tcPr>
            <w:tcW w:w="899"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表演</w:t>
            </w:r>
          </w:p>
        </w:tc>
        <w:tc>
          <w:tcPr>
            <w:tcW w:w="531" w:type="dxa"/>
            <w:shd w:val="clear" w:color="auto" w:fill="auto"/>
            <w:vAlign w:val="center"/>
          </w:tcPr>
          <w:p>
            <w:pPr>
              <w:pStyle w:val="52"/>
              <w:jc w:val="center"/>
              <w:rPr>
                <w:rFonts w:eastAsia="MingLiU"/>
                <w:kern w:val="0"/>
              </w:rPr>
            </w:pPr>
            <w:r>
              <w:rPr>
                <w:rFonts w:eastAsia="MingLiU"/>
                <w:kern w:val="0"/>
              </w:rPr>
              <w:t>29</w:t>
            </w:r>
          </w:p>
        </w:tc>
        <w:tc>
          <w:tcPr>
            <w:tcW w:w="899" w:type="dxa"/>
            <w:shd w:val="clear" w:color="auto" w:fill="auto"/>
            <w:vAlign w:val="center"/>
          </w:tcPr>
          <w:p>
            <w:pPr>
              <w:pStyle w:val="52"/>
              <w:jc w:val="center"/>
              <w:rPr>
                <w:kern w:val="0"/>
              </w:rPr>
            </w:pPr>
            <w:r>
              <w:rPr>
                <w:kern w:val="0"/>
              </w:rPr>
              <w:t>2082.07</w:t>
            </w:r>
          </w:p>
        </w:tc>
        <w:tc>
          <w:tcPr>
            <w:tcW w:w="899" w:type="dxa"/>
            <w:shd w:val="clear" w:color="auto" w:fill="auto"/>
            <w:vAlign w:val="center"/>
          </w:tcPr>
          <w:p>
            <w:pPr>
              <w:pStyle w:val="52"/>
              <w:jc w:val="center"/>
              <w:rPr>
                <w:kern w:val="0"/>
              </w:rPr>
            </w:pPr>
            <w:r>
              <w:rPr>
                <w:kern w:val="0"/>
              </w:rPr>
              <w:t>2352.26</w:t>
            </w:r>
          </w:p>
        </w:tc>
        <w:tc>
          <w:tcPr>
            <w:tcW w:w="899" w:type="dxa"/>
            <w:vAlign w:val="center"/>
          </w:tcPr>
          <w:p>
            <w:pPr>
              <w:pStyle w:val="52"/>
              <w:jc w:val="center"/>
              <w:rPr>
                <w:kern w:val="0"/>
              </w:rPr>
            </w:pPr>
            <w:r>
              <w:rPr>
                <w:kern w:val="0"/>
              </w:rPr>
              <w:t>1000.00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F=1.44</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播音与主持</w:t>
            </w:r>
          </w:p>
        </w:tc>
        <w:tc>
          <w:tcPr>
            <w:tcW w:w="531" w:type="dxa"/>
            <w:shd w:val="clear" w:color="auto" w:fill="auto"/>
            <w:vAlign w:val="center"/>
          </w:tcPr>
          <w:p>
            <w:pPr>
              <w:pStyle w:val="52"/>
              <w:jc w:val="center"/>
              <w:rPr>
                <w:rFonts w:eastAsia="MingLiU"/>
                <w:kern w:val="0"/>
              </w:rPr>
            </w:pPr>
            <w:r>
              <w:rPr>
                <w:rFonts w:eastAsia="MingLiU"/>
                <w:kern w:val="0"/>
              </w:rPr>
              <w:t>13</w:t>
            </w:r>
          </w:p>
        </w:tc>
        <w:tc>
          <w:tcPr>
            <w:tcW w:w="899" w:type="dxa"/>
            <w:shd w:val="clear" w:color="auto" w:fill="auto"/>
            <w:vAlign w:val="center"/>
          </w:tcPr>
          <w:p>
            <w:pPr>
              <w:pStyle w:val="52"/>
              <w:jc w:val="center"/>
              <w:rPr>
                <w:kern w:val="0"/>
              </w:rPr>
            </w:pPr>
            <w:r>
              <w:rPr>
                <w:kern w:val="0"/>
              </w:rPr>
              <w:t>2170.00</w:t>
            </w:r>
          </w:p>
        </w:tc>
        <w:tc>
          <w:tcPr>
            <w:tcW w:w="899" w:type="dxa"/>
            <w:shd w:val="clear" w:color="auto" w:fill="auto"/>
            <w:vAlign w:val="center"/>
          </w:tcPr>
          <w:p>
            <w:pPr>
              <w:pStyle w:val="52"/>
              <w:jc w:val="center"/>
              <w:rPr>
                <w:kern w:val="0"/>
              </w:rPr>
            </w:pPr>
            <w:r>
              <w:rPr>
                <w:kern w:val="0"/>
              </w:rPr>
              <w:t>1888.66</w:t>
            </w:r>
          </w:p>
        </w:tc>
        <w:tc>
          <w:tcPr>
            <w:tcW w:w="899" w:type="dxa"/>
            <w:vAlign w:val="center"/>
          </w:tcPr>
          <w:p>
            <w:pPr>
              <w:pStyle w:val="52"/>
              <w:jc w:val="center"/>
              <w:rPr>
                <w:kern w:val="0"/>
              </w:rPr>
            </w:pPr>
            <w:r>
              <w:rPr>
                <w:kern w:val="0"/>
              </w:rPr>
              <w:t>2000.00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导演</w:t>
            </w:r>
          </w:p>
        </w:tc>
        <w:tc>
          <w:tcPr>
            <w:tcW w:w="531" w:type="dxa"/>
            <w:shd w:val="clear" w:color="auto" w:fill="auto"/>
            <w:vAlign w:val="center"/>
          </w:tcPr>
          <w:p>
            <w:pPr>
              <w:pStyle w:val="52"/>
              <w:jc w:val="center"/>
              <w:rPr>
                <w:rFonts w:eastAsia="MingLiU"/>
                <w:kern w:val="0"/>
              </w:rPr>
            </w:pPr>
            <w:r>
              <w:rPr>
                <w:rFonts w:eastAsia="MingLiU"/>
                <w:kern w:val="0"/>
              </w:rPr>
              <w:t>2</w:t>
            </w:r>
          </w:p>
        </w:tc>
        <w:tc>
          <w:tcPr>
            <w:tcW w:w="899" w:type="dxa"/>
            <w:shd w:val="clear" w:color="auto" w:fill="auto"/>
            <w:vAlign w:val="center"/>
          </w:tcPr>
          <w:p>
            <w:pPr>
              <w:pStyle w:val="52"/>
              <w:jc w:val="center"/>
              <w:rPr>
                <w:kern w:val="0"/>
              </w:rPr>
            </w:pPr>
            <w:r>
              <w:rPr>
                <w:kern w:val="0"/>
              </w:rPr>
              <w:t>5500.00</w:t>
            </w:r>
          </w:p>
        </w:tc>
        <w:tc>
          <w:tcPr>
            <w:tcW w:w="899" w:type="dxa"/>
            <w:shd w:val="clear" w:color="auto" w:fill="auto"/>
            <w:vAlign w:val="center"/>
          </w:tcPr>
          <w:p>
            <w:pPr>
              <w:pStyle w:val="52"/>
              <w:jc w:val="center"/>
              <w:rPr>
                <w:kern w:val="0"/>
              </w:rPr>
            </w:pPr>
            <w:r>
              <w:rPr>
                <w:kern w:val="0"/>
              </w:rPr>
              <w:t>6363.96</w:t>
            </w:r>
          </w:p>
        </w:tc>
        <w:tc>
          <w:tcPr>
            <w:tcW w:w="899" w:type="dxa"/>
            <w:vAlign w:val="center"/>
          </w:tcPr>
          <w:p>
            <w:pPr>
              <w:pStyle w:val="52"/>
              <w:jc w:val="center"/>
              <w:rPr>
                <w:kern w:val="0"/>
              </w:rPr>
            </w:pPr>
            <w:r>
              <w:rPr>
                <w:kern w:val="0"/>
              </w:rPr>
              <w:t>5500.00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电视剧创作</w:t>
            </w:r>
          </w:p>
        </w:tc>
        <w:tc>
          <w:tcPr>
            <w:tcW w:w="531" w:type="dxa"/>
            <w:shd w:val="clear" w:color="auto" w:fill="auto"/>
            <w:vAlign w:val="center"/>
          </w:tcPr>
          <w:p>
            <w:pPr>
              <w:pStyle w:val="52"/>
              <w:jc w:val="center"/>
              <w:rPr>
                <w:rFonts w:eastAsia="MingLiU"/>
                <w:kern w:val="0"/>
              </w:rPr>
            </w:pPr>
            <w:r>
              <w:rPr>
                <w:rFonts w:eastAsia="MingLiU"/>
                <w:kern w:val="0"/>
              </w:rPr>
              <w:t>3</w:t>
            </w:r>
          </w:p>
        </w:tc>
        <w:tc>
          <w:tcPr>
            <w:tcW w:w="899" w:type="dxa"/>
            <w:shd w:val="clear" w:color="auto" w:fill="auto"/>
            <w:vAlign w:val="center"/>
          </w:tcPr>
          <w:p>
            <w:pPr>
              <w:pStyle w:val="52"/>
              <w:jc w:val="center"/>
              <w:rPr>
                <w:kern w:val="0"/>
              </w:rPr>
            </w:pPr>
            <w:r>
              <w:rPr>
                <w:kern w:val="0"/>
              </w:rPr>
              <w:t>286.67</w:t>
            </w:r>
          </w:p>
        </w:tc>
        <w:tc>
          <w:tcPr>
            <w:tcW w:w="899" w:type="dxa"/>
            <w:shd w:val="clear" w:color="auto" w:fill="auto"/>
            <w:vAlign w:val="center"/>
          </w:tcPr>
          <w:p>
            <w:pPr>
              <w:pStyle w:val="52"/>
              <w:jc w:val="center"/>
              <w:rPr>
                <w:kern w:val="0"/>
              </w:rPr>
            </w:pPr>
            <w:r>
              <w:rPr>
                <w:kern w:val="0"/>
              </w:rPr>
              <w:t>445.01</w:t>
            </w:r>
          </w:p>
        </w:tc>
        <w:tc>
          <w:tcPr>
            <w:tcW w:w="899" w:type="dxa"/>
            <w:vAlign w:val="center"/>
          </w:tcPr>
          <w:p>
            <w:pPr>
              <w:pStyle w:val="52"/>
              <w:jc w:val="center"/>
              <w:rPr>
                <w:kern w:val="0"/>
              </w:rPr>
            </w:pPr>
            <w:r>
              <w:rPr>
                <w:kern w:val="0"/>
              </w:rPr>
              <w:t>50.00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舞台灯光</w:t>
            </w:r>
          </w:p>
        </w:tc>
        <w:tc>
          <w:tcPr>
            <w:tcW w:w="531" w:type="dxa"/>
            <w:shd w:val="clear" w:color="auto" w:fill="auto"/>
            <w:vAlign w:val="center"/>
          </w:tcPr>
          <w:p>
            <w:pPr>
              <w:pStyle w:val="52"/>
              <w:jc w:val="center"/>
              <w:rPr>
                <w:rFonts w:eastAsia="MingLiU"/>
                <w:kern w:val="0"/>
              </w:rPr>
            </w:pPr>
            <w:r>
              <w:rPr>
                <w:rFonts w:eastAsia="MingLiU"/>
                <w:kern w:val="0"/>
              </w:rPr>
              <w:t>2</w:t>
            </w:r>
          </w:p>
        </w:tc>
        <w:tc>
          <w:tcPr>
            <w:tcW w:w="899" w:type="dxa"/>
            <w:shd w:val="clear" w:color="auto" w:fill="auto"/>
            <w:vAlign w:val="center"/>
          </w:tcPr>
          <w:p>
            <w:pPr>
              <w:pStyle w:val="52"/>
              <w:jc w:val="center"/>
              <w:rPr>
                <w:kern w:val="0"/>
              </w:rPr>
            </w:pPr>
            <w:r>
              <w:rPr>
                <w:kern w:val="0"/>
              </w:rPr>
              <w:t>604.00</w:t>
            </w:r>
          </w:p>
        </w:tc>
        <w:tc>
          <w:tcPr>
            <w:tcW w:w="899" w:type="dxa"/>
            <w:shd w:val="clear" w:color="auto" w:fill="auto"/>
            <w:vAlign w:val="center"/>
          </w:tcPr>
          <w:p>
            <w:pPr>
              <w:pStyle w:val="52"/>
              <w:jc w:val="center"/>
              <w:rPr>
                <w:kern w:val="0"/>
              </w:rPr>
            </w:pPr>
            <w:r>
              <w:rPr>
                <w:kern w:val="0"/>
              </w:rPr>
              <w:t>147.08</w:t>
            </w:r>
          </w:p>
        </w:tc>
        <w:tc>
          <w:tcPr>
            <w:tcW w:w="899" w:type="dxa"/>
            <w:vAlign w:val="center"/>
          </w:tcPr>
          <w:p>
            <w:pPr>
              <w:pStyle w:val="52"/>
              <w:jc w:val="center"/>
              <w:rPr>
                <w:kern w:val="0"/>
              </w:rPr>
            </w:pPr>
            <w:r>
              <w:rPr>
                <w:kern w:val="0"/>
              </w:rPr>
              <w:t>604.00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舞台服装</w:t>
            </w:r>
          </w:p>
        </w:tc>
        <w:tc>
          <w:tcPr>
            <w:tcW w:w="531" w:type="dxa"/>
            <w:shd w:val="clear" w:color="auto" w:fill="auto"/>
            <w:vAlign w:val="center"/>
          </w:tcPr>
          <w:p>
            <w:pPr>
              <w:pStyle w:val="52"/>
              <w:jc w:val="center"/>
              <w:rPr>
                <w:rFonts w:eastAsia="MingLiU"/>
                <w:kern w:val="0"/>
              </w:rPr>
            </w:pPr>
            <w:r>
              <w:rPr>
                <w:rFonts w:eastAsia="MingLiU"/>
                <w:kern w:val="0"/>
              </w:rPr>
              <w:t>4</w:t>
            </w:r>
          </w:p>
        </w:tc>
        <w:tc>
          <w:tcPr>
            <w:tcW w:w="899" w:type="dxa"/>
            <w:shd w:val="clear" w:color="auto" w:fill="auto"/>
            <w:vAlign w:val="center"/>
          </w:tcPr>
          <w:p>
            <w:pPr>
              <w:pStyle w:val="52"/>
              <w:jc w:val="center"/>
              <w:rPr>
                <w:kern w:val="0"/>
              </w:rPr>
            </w:pPr>
            <w:r>
              <w:rPr>
                <w:kern w:val="0"/>
              </w:rPr>
              <w:t>706.25</w:t>
            </w:r>
          </w:p>
        </w:tc>
        <w:tc>
          <w:tcPr>
            <w:tcW w:w="899" w:type="dxa"/>
            <w:shd w:val="clear" w:color="auto" w:fill="auto"/>
            <w:vAlign w:val="center"/>
          </w:tcPr>
          <w:p>
            <w:pPr>
              <w:pStyle w:val="52"/>
              <w:jc w:val="center"/>
              <w:rPr>
                <w:kern w:val="0"/>
              </w:rPr>
            </w:pPr>
            <w:r>
              <w:rPr>
                <w:kern w:val="0"/>
              </w:rPr>
              <w:t>884.21</w:t>
            </w:r>
          </w:p>
        </w:tc>
        <w:tc>
          <w:tcPr>
            <w:tcW w:w="899" w:type="dxa"/>
            <w:vAlign w:val="center"/>
          </w:tcPr>
          <w:p>
            <w:pPr>
              <w:pStyle w:val="52"/>
              <w:jc w:val="center"/>
              <w:rPr>
                <w:kern w:val="0"/>
              </w:rPr>
            </w:pPr>
            <w:r>
              <w:rPr>
                <w:kern w:val="0"/>
              </w:rPr>
              <w:t>400.00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舞台化装</w:t>
            </w:r>
          </w:p>
        </w:tc>
        <w:tc>
          <w:tcPr>
            <w:tcW w:w="531" w:type="dxa"/>
            <w:shd w:val="clear" w:color="auto" w:fill="auto"/>
            <w:vAlign w:val="center"/>
          </w:tcPr>
          <w:p>
            <w:pPr>
              <w:pStyle w:val="52"/>
              <w:jc w:val="center"/>
              <w:rPr>
                <w:rFonts w:eastAsia="MingLiU"/>
                <w:kern w:val="0"/>
              </w:rPr>
            </w:pPr>
            <w:r>
              <w:rPr>
                <w:rFonts w:eastAsia="MingLiU"/>
                <w:kern w:val="0"/>
              </w:rPr>
              <w:t>3</w:t>
            </w:r>
          </w:p>
        </w:tc>
        <w:tc>
          <w:tcPr>
            <w:tcW w:w="899" w:type="dxa"/>
            <w:shd w:val="clear" w:color="auto" w:fill="auto"/>
            <w:vAlign w:val="center"/>
          </w:tcPr>
          <w:p>
            <w:pPr>
              <w:pStyle w:val="52"/>
              <w:jc w:val="center"/>
              <w:rPr>
                <w:kern w:val="0"/>
              </w:rPr>
            </w:pPr>
            <w:r>
              <w:rPr>
                <w:kern w:val="0"/>
              </w:rPr>
              <w:t>433.33</w:t>
            </w:r>
          </w:p>
        </w:tc>
        <w:tc>
          <w:tcPr>
            <w:tcW w:w="899" w:type="dxa"/>
            <w:shd w:val="clear" w:color="auto" w:fill="auto"/>
            <w:vAlign w:val="center"/>
          </w:tcPr>
          <w:p>
            <w:pPr>
              <w:pStyle w:val="52"/>
              <w:jc w:val="center"/>
              <w:rPr>
                <w:kern w:val="0"/>
              </w:rPr>
            </w:pPr>
            <w:r>
              <w:rPr>
                <w:kern w:val="0"/>
              </w:rPr>
              <w:t>321.46</w:t>
            </w:r>
          </w:p>
        </w:tc>
        <w:tc>
          <w:tcPr>
            <w:tcW w:w="899" w:type="dxa"/>
            <w:vAlign w:val="center"/>
          </w:tcPr>
          <w:p>
            <w:pPr>
              <w:pStyle w:val="52"/>
              <w:jc w:val="center"/>
              <w:rPr>
                <w:kern w:val="0"/>
              </w:rPr>
            </w:pPr>
            <w:r>
              <w:rPr>
                <w:kern w:val="0"/>
              </w:rPr>
              <w:t>300.00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舞台绘景</w:t>
            </w:r>
          </w:p>
        </w:tc>
        <w:tc>
          <w:tcPr>
            <w:tcW w:w="531" w:type="dxa"/>
            <w:shd w:val="clear" w:color="auto" w:fill="auto"/>
            <w:vAlign w:val="center"/>
          </w:tcPr>
          <w:p>
            <w:pPr>
              <w:pStyle w:val="52"/>
              <w:jc w:val="center"/>
              <w:rPr>
                <w:rFonts w:eastAsia="MingLiU"/>
                <w:kern w:val="0"/>
              </w:rPr>
            </w:pPr>
            <w:r>
              <w:rPr>
                <w:rFonts w:eastAsia="MingLiU"/>
                <w:kern w:val="0"/>
              </w:rPr>
              <w:t>7</w:t>
            </w:r>
          </w:p>
        </w:tc>
        <w:tc>
          <w:tcPr>
            <w:tcW w:w="899" w:type="dxa"/>
            <w:shd w:val="clear" w:color="auto" w:fill="auto"/>
            <w:vAlign w:val="center"/>
          </w:tcPr>
          <w:p>
            <w:pPr>
              <w:pStyle w:val="52"/>
              <w:jc w:val="center"/>
              <w:rPr>
                <w:kern w:val="0"/>
              </w:rPr>
            </w:pPr>
            <w:r>
              <w:rPr>
                <w:kern w:val="0"/>
              </w:rPr>
              <w:t>1214.29</w:t>
            </w:r>
          </w:p>
        </w:tc>
        <w:tc>
          <w:tcPr>
            <w:tcW w:w="899" w:type="dxa"/>
            <w:shd w:val="clear" w:color="auto" w:fill="auto"/>
            <w:vAlign w:val="center"/>
          </w:tcPr>
          <w:p>
            <w:pPr>
              <w:pStyle w:val="52"/>
              <w:jc w:val="center"/>
              <w:rPr>
                <w:kern w:val="0"/>
              </w:rPr>
            </w:pPr>
            <w:r>
              <w:rPr>
                <w:kern w:val="0"/>
              </w:rPr>
              <w:t>1720.64</w:t>
            </w:r>
          </w:p>
        </w:tc>
        <w:tc>
          <w:tcPr>
            <w:tcW w:w="899" w:type="dxa"/>
            <w:vAlign w:val="center"/>
          </w:tcPr>
          <w:p>
            <w:pPr>
              <w:pStyle w:val="52"/>
              <w:jc w:val="center"/>
              <w:rPr>
                <w:kern w:val="0"/>
              </w:rPr>
            </w:pPr>
            <w:r>
              <w:rPr>
                <w:kern w:val="0"/>
              </w:rPr>
              <w:t>1000.00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舞台设计</w:t>
            </w:r>
          </w:p>
        </w:tc>
        <w:tc>
          <w:tcPr>
            <w:tcW w:w="531" w:type="dxa"/>
            <w:shd w:val="clear" w:color="auto" w:fill="auto"/>
            <w:vAlign w:val="center"/>
          </w:tcPr>
          <w:p>
            <w:pPr>
              <w:pStyle w:val="52"/>
              <w:jc w:val="center"/>
              <w:rPr>
                <w:rFonts w:eastAsia="MingLiU"/>
                <w:kern w:val="0"/>
              </w:rPr>
            </w:pPr>
            <w:r>
              <w:rPr>
                <w:rFonts w:eastAsia="MingLiU"/>
                <w:kern w:val="0"/>
              </w:rPr>
              <w:t>1</w:t>
            </w:r>
          </w:p>
        </w:tc>
        <w:tc>
          <w:tcPr>
            <w:tcW w:w="899" w:type="dxa"/>
            <w:shd w:val="clear" w:color="auto" w:fill="auto"/>
            <w:vAlign w:val="center"/>
          </w:tcPr>
          <w:p>
            <w:pPr>
              <w:pStyle w:val="52"/>
              <w:jc w:val="center"/>
              <w:rPr>
                <w:kern w:val="0"/>
              </w:rPr>
            </w:pPr>
            <w:r>
              <w:rPr>
                <w:kern w:val="0"/>
              </w:rPr>
              <w:t>300.00</w:t>
            </w:r>
          </w:p>
        </w:tc>
        <w:tc>
          <w:tcPr>
            <w:tcW w:w="899" w:type="dxa"/>
            <w:shd w:val="clear" w:color="auto" w:fill="auto"/>
            <w:vAlign w:val="center"/>
          </w:tcPr>
          <w:p>
            <w:pPr>
              <w:pStyle w:val="52"/>
              <w:jc w:val="center"/>
              <w:rPr>
                <w:kern w:val="0"/>
              </w:rPr>
            </w:pPr>
            <w:r>
              <w:rPr>
                <w:kern w:val="0"/>
              </w:rPr>
              <w:t>0.00</w:t>
            </w:r>
          </w:p>
        </w:tc>
        <w:tc>
          <w:tcPr>
            <w:tcW w:w="899" w:type="dxa"/>
            <w:vAlign w:val="center"/>
          </w:tcPr>
          <w:p>
            <w:pPr>
              <w:pStyle w:val="52"/>
              <w:jc w:val="center"/>
              <w:rPr>
                <w:kern w:val="0"/>
              </w:rPr>
            </w:pPr>
            <w:r>
              <w:rPr>
                <w:kern w:val="0"/>
              </w:rPr>
              <w:t>300.00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戏剧创作</w:t>
            </w:r>
          </w:p>
        </w:tc>
        <w:tc>
          <w:tcPr>
            <w:tcW w:w="531" w:type="dxa"/>
            <w:shd w:val="clear" w:color="auto" w:fill="auto"/>
            <w:vAlign w:val="center"/>
          </w:tcPr>
          <w:p>
            <w:pPr>
              <w:pStyle w:val="52"/>
              <w:jc w:val="center"/>
              <w:rPr>
                <w:rFonts w:eastAsia="MingLiU"/>
                <w:kern w:val="0"/>
              </w:rPr>
            </w:pPr>
            <w:r>
              <w:rPr>
                <w:rFonts w:eastAsia="MingLiU"/>
                <w:kern w:val="0"/>
              </w:rPr>
              <w:t>7</w:t>
            </w:r>
          </w:p>
        </w:tc>
        <w:tc>
          <w:tcPr>
            <w:tcW w:w="899" w:type="dxa"/>
            <w:shd w:val="clear" w:color="auto" w:fill="auto"/>
            <w:vAlign w:val="center"/>
          </w:tcPr>
          <w:p>
            <w:pPr>
              <w:pStyle w:val="52"/>
              <w:jc w:val="center"/>
              <w:rPr>
                <w:kern w:val="0"/>
              </w:rPr>
            </w:pPr>
            <w:r>
              <w:rPr>
                <w:kern w:val="0"/>
              </w:rPr>
              <w:t>1064.29</w:t>
            </w:r>
          </w:p>
        </w:tc>
        <w:tc>
          <w:tcPr>
            <w:tcW w:w="899" w:type="dxa"/>
            <w:shd w:val="clear" w:color="auto" w:fill="auto"/>
            <w:vAlign w:val="center"/>
          </w:tcPr>
          <w:p>
            <w:pPr>
              <w:pStyle w:val="52"/>
              <w:jc w:val="center"/>
              <w:rPr>
                <w:kern w:val="0"/>
              </w:rPr>
            </w:pPr>
            <w:r>
              <w:rPr>
                <w:kern w:val="0"/>
              </w:rPr>
              <w:t>1764.16</w:t>
            </w:r>
          </w:p>
        </w:tc>
        <w:tc>
          <w:tcPr>
            <w:tcW w:w="899" w:type="dxa"/>
            <w:vAlign w:val="center"/>
          </w:tcPr>
          <w:p>
            <w:pPr>
              <w:pStyle w:val="52"/>
              <w:jc w:val="center"/>
              <w:rPr>
                <w:kern w:val="0"/>
              </w:rPr>
            </w:pPr>
            <w:r>
              <w:rPr>
                <w:kern w:val="0"/>
              </w:rPr>
              <w:t>500.00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戏剧学</w:t>
            </w:r>
          </w:p>
        </w:tc>
        <w:tc>
          <w:tcPr>
            <w:tcW w:w="531" w:type="dxa"/>
            <w:shd w:val="clear" w:color="auto" w:fill="auto"/>
            <w:vAlign w:val="center"/>
          </w:tcPr>
          <w:p>
            <w:pPr>
              <w:pStyle w:val="52"/>
              <w:jc w:val="center"/>
              <w:rPr>
                <w:rFonts w:eastAsia="MingLiU"/>
                <w:kern w:val="0"/>
              </w:rPr>
            </w:pPr>
            <w:r>
              <w:rPr>
                <w:rFonts w:eastAsia="MingLiU"/>
                <w:kern w:val="0"/>
              </w:rPr>
              <w:t>11</w:t>
            </w:r>
          </w:p>
        </w:tc>
        <w:tc>
          <w:tcPr>
            <w:tcW w:w="899" w:type="dxa"/>
            <w:shd w:val="clear" w:color="auto" w:fill="auto"/>
            <w:vAlign w:val="center"/>
          </w:tcPr>
          <w:p>
            <w:pPr>
              <w:pStyle w:val="52"/>
              <w:jc w:val="center"/>
              <w:rPr>
                <w:kern w:val="0"/>
              </w:rPr>
            </w:pPr>
            <w:r>
              <w:rPr>
                <w:kern w:val="0"/>
              </w:rPr>
              <w:t>550.00</w:t>
            </w:r>
          </w:p>
        </w:tc>
        <w:tc>
          <w:tcPr>
            <w:tcW w:w="899" w:type="dxa"/>
            <w:shd w:val="clear" w:color="auto" w:fill="auto"/>
            <w:vAlign w:val="center"/>
          </w:tcPr>
          <w:p>
            <w:pPr>
              <w:pStyle w:val="52"/>
              <w:jc w:val="center"/>
              <w:rPr>
                <w:kern w:val="0"/>
              </w:rPr>
            </w:pPr>
            <w:r>
              <w:rPr>
                <w:kern w:val="0"/>
              </w:rPr>
              <w:t>549.09</w:t>
            </w:r>
          </w:p>
        </w:tc>
        <w:tc>
          <w:tcPr>
            <w:tcW w:w="899" w:type="dxa"/>
            <w:vAlign w:val="center"/>
          </w:tcPr>
          <w:p>
            <w:pPr>
              <w:pStyle w:val="52"/>
              <w:jc w:val="center"/>
              <w:rPr>
                <w:kern w:val="0"/>
              </w:rPr>
            </w:pPr>
            <w:r>
              <w:rPr>
                <w:kern w:val="0"/>
              </w:rPr>
              <w:t>500.00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演出制作</w:t>
            </w:r>
          </w:p>
        </w:tc>
        <w:tc>
          <w:tcPr>
            <w:tcW w:w="531" w:type="dxa"/>
            <w:shd w:val="clear" w:color="auto" w:fill="auto"/>
            <w:vAlign w:val="center"/>
          </w:tcPr>
          <w:p>
            <w:pPr>
              <w:pStyle w:val="52"/>
              <w:jc w:val="center"/>
              <w:rPr>
                <w:rFonts w:eastAsia="MingLiU"/>
                <w:kern w:val="0"/>
              </w:rPr>
            </w:pPr>
            <w:r>
              <w:rPr>
                <w:rFonts w:eastAsia="MingLiU"/>
                <w:kern w:val="0"/>
              </w:rPr>
              <w:t>13</w:t>
            </w:r>
          </w:p>
        </w:tc>
        <w:tc>
          <w:tcPr>
            <w:tcW w:w="899" w:type="dxa"/>
            <w:shd w:val="clear" w:color="auto" w:fill="auto"/>
            <w:vAlign w:val="center"/>
          </w:tcPr>
          <w:p>
            <w:pPr>
              <w:pStyle w:val="52"/>
              <w:jc w:val="center"/>
              <w:rPr>
                <w:kern w:val="0"/>
              </w:rPr>
            </w:pPr>
            <w:r>
              <w:rPr>
                <w:kern w:val="0"/>
              </w:rPr>
              <w:t>1957.69</w:t>
            </w:r>
          </w:p>
        </w:tc>
        <w:tc>
          <w:tcPr>
            <w:tcW w:w="899" w:type="dxa"/>
            <w:shd w:val="clear" w:color="auto" w:fill="auto"/>
            <w:vAlign w:val="center"/>
          </w:tcPr>
          <w:p>
            <w:pPr>
              <w:pStyle w:val="52"/>
              <w:jc w:val="center"/>
              <w:rPr>
                <w:kern w:val="0"/>
              </w:rPr>
            </w:pPr>
            <w:r>
              <w:rPr>
                <w:kern w:val="0"/>
              </w:rPr>
              <w:t>2947.45</w:t>
            </w:r>
          </w:p>
        </w:tc>
        <w:tc>
          <w:tcPr>
            <w:tcW w:w="899" w:type="dxa"/>
            <w:vAlign w:val="center"/>
          </w:tcPr>
          <w:p>
            <w:pPr>
              <w:pStyle w:val="52"/>
              <w:jc w:val="center"/>
              <w:rPr>
                <w:kern w:val="0"/>
              </w:rPr>
            </w:pPr>
            <w:r>
              <w:rPr>
                <w:kern w:val="0"/>
              </w:rPr>
              <w:t>500.00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影视编导</w:t>
            </w:r>
          </w:p>
        </w:tc>
        <w:tc>
          <w:tcPr>
            <w:tcW w:w="531" w:type="dxa"/>
            <w:shd w:val="clear" w:color="auto" w:fill="auto"/>
            <w:vAlign w:val="center"/>
          </w:tcPr>
          <w:p>
            <w:pPr>
              <w:pStyle w:val="52"/>
              <w:jc w:val="center"/>
              <w:rPr>
                <w:rFonts w:eastAsia="MingLiU"/>
                <w:kern w:val="0"/>
              </w:rPr>
            </w:pPr>
            <w:r>
              <w:rPr>
                <w:rFonts w:eastAsia="MingLiU"/>
                <w:kern w:val="0"/>
              </w:rPr>
              <w:t>6</w:t>
            </w:r>
          </w:p>
        </w:tc>
        <w:tc>
          <w:tcPr>
            <w:tcW w:w="899" w:type="dxa"/>
            <w:shd w:val="clear" w:color="auto" w:fill="auto"/>
            <w:vAlign w:val="center"/>
          </w:tcPr>
          <w:p>
            <w:pPr>
              <w:pStyle w:val="52"/>
              <w:jc w:val="center"/>
              <w:rPr>
                <w:kern w:val="0"/>
              </w:rPr>
            </w:pPr>
            <w:r>
              <w:rPr>
                <w:kern w:val="0"/>
              </w:rPr>
              <w:t>153.33</w:t>
            </w:r>
          </w:p>
        </w:tc>
        <w:tc>
          <w:tcPr>
            <w:tcW w:w="899" w:type="dxa"/>
            <w:shd w:val="clear" w:color="auto" w:fill="auto"/>
            <w:vAlign w:val="center"/>
          </w:tcPr>
          <w:p>
            <w:pPr>
              <w:pStyle w:val="52"/>
              <w:jc w:val="center"/>
              <w:rPr>
                <w:kern w:val="0"/>
              </w:rPr>
            </w:pPr>
            <w:r>
              <w:rPr>
                <w:kern w:val="0"/>
              </w:rPr>
              <w:t>144.45</w:t>
            </w:r>
          </w:p>
        </w:tc>
        <w:tc>
          <w:tcPr>
            <w:tcW w:w="899" w:type="dxa"/>
            <w:vAlign w:val="center"/>
          </w:tcPr>
          <w:p>
            <w:pPr>
              <w:pStyle w:val="52"/>
              <w:jc w:val="center"/>
              <w:rPr>
                <w:kern w:val="0"/>
              </w:rPr>
            </w:pPr>
            <w:r>
              <w:rPr>
                <w:kern w:val="0"/>
              </w:rPr>
              <w:t>125.00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26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制片管理</w:t>
            </w:r>
          </w:p>
        </w:tc>
        <w:tc>
          <w:tcPr>
            <w:tcW w:w="531" w:type="dxa"/>
            <w:shd w:val="clear" w:color="auto" w:fill="auto"/>
            <w:vAlign w:val="center"/>
          </w:tcPr>
          <w:p>
            <w:pPr>
              <w:pStyle w:val="52"/>
              <w:jc w:val="center"/>
              <w:rPr>
                <w:rFonts w:eastAsia="MingLiU"/>
                <w:kern w:val="0"/>
              </w:rPr>
            </w:pPr>
            <w:r>
              <w:rPr>
                <w:rFonts w:eastAsia="MingLiU"/>
                <w:kern w:val="0"/>
              </w:rPr>
              <w:t>13</w:t>
            </w:r>
          </w:p>
        </w:tc>
        <w:tc>
          <w:tcPr>
            <w:tcW w:w="899" w:type="dxa"/>
            <w:shd w:val="clear" w:color="auto" w:fill="auto"/>
            <w:vAlign w:val="center"/>
          </w:tcPr>
          <w:p>
            <w:pPr>
              <w:pStyle w:val="52"/>
              <w:jc w:val="center"/>
              <w:rPr>
                <w:kern w:val="0"/>
              </w:rPr>
            </w:pPr>
            <w:r>
              <w:rPr>
                <w:kern w:val="0"/>
              </w:rPr>
              <w:t>1109.23</w:t>
            </w:r>
          </w:p>
        </w:tc>
        <w:tc>
          <w:tcPr>
            <w:tcW w:w="899" w:type="dxa"/>
            <w:shd w:val="clear" w:color="auto" w:fill="auto"/>
            <w:vAlign w:val="center"/>
          </w:tcPr>
          <w:p>
            <w:pPr>
              <w:pStyle w:val="52"/>
              <w:jc w:val="center"/>
              <w:rPr>
                <w:kern w:val="0"/>
              </w:rPr>
            </w:pPr>
            <w:r>
              <w:rPr>
                <w:kern w:val="0"/>
              </w:rPr>
              <w:t>2689.88</w:t>
            </w:r>
          </w:p>
        </w:tc>
        <w:tc>
          <w:tcPr>
            <w:tcW w:w="899" w:type="dxa"/>
            <w:vAlign w:val="center"/>
          </w:tcPr>
          <w:p>
            <w:pPr>
              <w:pStyle w:val="52"/>
              <w:jc w:val="center"/>
              <w:rPr>
                <w:kern w:val="0"/>
              </w:rPr>
            </w:pPr>
            <w:r>
              <w:rPr>
                <w:kern w:val="0"/>
              </w:rPr>
              <w:t>300.00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90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531" w:type="dxa"/>
            <w:shd w:val="clear" w:color="auto" w:fill="auto"/>
            <w:vAlign w:val="center"/>
          </w:tcPr>
          <w:p>
            <w:pPr>
              <w:pStyle w:val="52"/>
              <w:jc w:val="center"/>
              <w:rPr>
                <w:rFonts w:eastAsia="MingLiU"/>
                <w:kern w:val="0"/>
              </w:rPr>
            </w:pPr>
            <w:r>
              <w:rPr>
                <w:rFonts w:eastAsia="MingLiU"/>
                <w:kern w:val="0"/>
              </w:rPr>
              <w:t>114</w:t>
            </w:r>
          </w:p>
        </w:tc>
        <w:tc>
          <w:tcPr>
            <w:tcW w:w="899" w:type="dxa"/>
            <w:shd w:val="clear" w:color="auto" w:fill="auto"/>
            <w:vAlign w:val="center"/>
          </w:tcPr>
          <w:p>
            <w:pPr>
              <w:pStyle w:val="52"/>
              <w:jc w:val="center"/>
              <w:rPr>
                <w:kern w:val="0"/>
              </w:rPr>
            </w:pPr>
            <w:r>
              <w:rPr>
                <w:kern w:val="0"/>
              </w:rPr>
              <w:t>1481.34</w:t>
            </w:r>
          </w:p>
        </w:tc>
        <w:tc>
          <w:tcPr>
            <w:tcW w:w="899" w:type="dxa"/>
            <w:shd w:val="clear" w:color="auto" w:fill="auto"/>
            <w:vAlign w:val="center"/>
          </w:tcPr>
          <w:p>
            <w:pPr>
              <w:pStyle w:val="52"/>
              <w:jc w:val="center"/>
              <w:rPr>
                <w:kern w:val="0"/>
              </w:rPr>
            </w:pPr>
            <w:r>
              <w:rPr>
                <w:kern w:val="0"/>
              </w:rPr>
              <w:t>2226.68</w:t>
            </w:r>
          </w:p>
        </w:tc>
        <w:tc>
          <w:tcPr>
            <w:tcW w:w="899" w:type="dxa"/>
            <w:vAlign w:val="center"/>
          </w:tcPr>
          <w:p>
            <w:pPr>
              <w:pStyle w:val="52"/>
              <w:jc w:val="center"/>
              <w:rPr>
                <w:kern w:val="0"/>
              </w:rPr>
            </w:pPr>
            <w:r>
              <w:rPr>
                <w:kern w:val="0"/>
              </w:rPr>
              <w:t>500.00</w:t>
            </w:r>
          </w:p>
        </w:tc>
        <w:tc>
          <w:tcPr>
            <w:tcW w:w="1056" w:type="dxa"/>
            <w:tcBorders>
              <w:right w:val="single" w:color="00B050" w:sz="8" w:space="0"/>
            </w:tcBorders>
            <w:shd w:val="clear" w:color="auto" w:fill="auto"/>
            <w:vAlign w:val="center"/>
          </w:tcPr>
          <w:p>
            <w:pPr>
              <w:pStyle w:val="52"/>
              <w:jc w:val="center"/>
              <w:rPr>
                <w:kern w:val="0"/>
              </w:rPr>
            </w:pPr>
          </w:p>
        </w:tc>
      </w:tr>
    </w:tbl>
    <w:p>
      <w:pPr>
        <w:pStyle w:val="52"/>
      </w:pPr>
    </w:p>
    <w:p>
      <w:pPr>
        <w:pStyle w:val="67"/>
      </w:pPr>
      <w:bookmarkStart w:id="165" w:name="_Toc470167409"/>
      <w:r>
        <w:rPr>
          <w:rFonts w:hint="eastAsia"/>
        </w:rPr>
        <w:t>5、</w:t>
      </w:r>
      <w:r>
        <w:t>求职渠道</w:t>
      </w:r>
      <w:bookmarkEnd w:id="165"/>
    </w:p>
    <w:p>
      <w:pPr>
        <w:pStyle w:val="37"/>
        <w:ind w:firstLine="480"/>
      </w:pPr>
      <w:bookmarkStart w:id="166" w:name="PO_3335"/>
      <w:bookmarkEnd w:id="166"/>
      <w:r>
        <w:rPr>
          <w:rFonts w:hint="eastAsia"/>
        </w:rPr>
        <w:t>本题为多选题，结果显示，本科生最主要采用的三种求职渠道为学校组织的招聘会、校友资源、学校发布的招聘信息。总体来说，通过学校资源求职成功的比例达到所有渠道的64.3%。</w:t>
      </w:r>
    </w:p>
    <w:p>
      <w:pPr>
        <w:jc w:val="center"/>
      </w:pPr>
      <w:r>
        <w:rPr>
          <w:rFonts w:hint="eastAsia"/>
        </w:rPr>
        <w:drawing>
          <wp:inline distT="0" distB="0" distL="0" distR="0">
            <wp:extent cx="6076950" cy="3077210"/>
            <wp:effectExtent l="19050" t="0" r="19050" b="8890"/>
            <wp:docPr id="4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59"/>
        <w:spacing w:before="156" w:after="312"/>
      </w:pPr>
      <w:r>
        <w:rPr>
          <w:rFonts w:hint="eastAsia"/>
        </w:rPr>
        <w:t>本科生求职渠道</w:t>
      </w:r>
    </w:p>
    <w:p>
      <w:pPr>
        <w:pStyle w:val="53"/>
        <w:spacing w:before="312" w:after="156"/>
      </w:pPr>
      <w:r>
        <w:rPr>
          <w:rFonts w:hint="eastAsia"/>
        </w:rPr>
        <w:t>本科生求职渠道</w:t>
      </w:r>
    </w:p>
    <w:tbl>
      <w:tblPr>
        <w:tblStyle w:val="33"/>
        <w:tblW w:w="311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10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10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学校组织的招聘会</w:t>
            </w:r>
          </w:p>
        </w:tc>
        <w:tc>
          <w:tcPr>
            <w:tcW w:w="426" w:type="dxa"/>
            <w:shd w:val="clear" w:color="auto" w:fill="auto"/>
            <w:vAlign w:val="center"/>
          </w:tcPr>
          <w:p>
            <w:pPr>
              <w:pStyle w:val="52"/>
              <w:jc w:val="center"/>
              <w:rPr>
                <w:kern w:val="0"/>
              </w:rPr>
            </w:pPr>
            <w:r>
              <w:rPr>
                <w:kern w:val="0"/>
              </w:rPr>
              <w:t>53</w:t>
            </w:r>
          </w:p>
        </w:tc>
        <w:tc>
          <w:tcPr>
            <w:tcW w:w="584" w:type="dxa"/>
            <w:shd w:val="clear" w:color="auto" w:fill="auto"/>
            <w:vAlign w:val="center"/>
          </w:tcPr>
          <w:p>
            <w:pPr>
              <w:pStyle w:val="52"/>
              <w:jc w:val="center"/>
              <w:rPr>
                <w:kern w:val="0"/>
              </w:rPr>
            </w:pPr>
            <w:r>
              <w:rPr>
                <w:kern w:val="0"/>
              </w:rPr>
              <w:t>41.1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学校发布的招聘信息</w:t>
            </w:r>
          </w:p>
        </w:tc>
        <w:tc>
          <w:tcPr>
            <w:tcW w:w="426" w:type="dxa"/>
            <w:shd w:val="clear" w:color="auto" w:fill="auto"/>
            <w:vAlign w:val="center"/>
          </w:tcPr>
          <w:p>
            <w:pPr>
              <w:pStyle w:val="52"/>
              <w:jc w:val="center"/>
              <w:rPr>
                <w:kern w:val="0"/>
              </w:rPr>
            </w:pPr>
            <w:r>
              <w:rPr>
                <w:kern w:val="0"/>
              </w:rPr>
              <w:t>48</w:t>
            </w:r>
          </w:p>
        </w:tc>
        <w:tc>
          <w:tcPr>
            <w:tcW w:w="584" w:type="dxa"/>
            <w:shd w:val="clear" w:color="auto" w:fill="auto"/>
            <w:vAlign w:val="center"/>
          </w:tcPr>
          <w:p>
            <w:pPr>
              <w:pStyle w:val="52"/>
              <w:jc w:val="center"/>
              <w:rPr>
                <w:kern w:val="0"/>
              </w:rPr>
            </w:pPr>
            <w:r>
              <w:rPr>
                <w:kern w:val="0"/>
              </w:rPr>
              <w:t>37.2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院系发布的招聘信息</w:t>
            </w:r>
          </w:p>
        </w:tc>
        <w:tc>
          <w:tcPr>
            <w:tcW w:w="426" w:type="dxa"/>
            <w:shd w:val="clear" w:color="auto" w:fill="auto"/>
            <w:vAlign w:val="center"/>
          </w:tcPr>
          <w:p>
            <w:pPr>
              <w:pStyle w:val="52"/>
              <w:jc w:val="center"/>
              <w:rPr>
                <w:kern w:val="0"/>
              </w:rPr>
            </w:pPr>
            <w:r>
              <w:rPr>
                <w:kern w:val="0"/>
              </w:rPr>
              <w:t>17</w:t>
            </w:r>
          </w:p>
        </w:tc>
        <w:tc>
          <w:tcPr>
            <w:tcW w:w="584" w:type="dxa"/>
            <w:shd w:val="clear" w:color="auto" w:fill="auto"/>
            <w:vAlign w:val="center"/>
          </w:tcPr>
          <w:p>
            <w:pPr>
              <w:pStyle w:val="52"/>
              <w:jc w:val="center"/>
              <w:rPr>
                <w:kern w:val="0"/>
              </w:rPr>
            </w:pPr>
            <w:r>
              <w:rPr>
                <w:kern w:val="0"/>
              </w:rPr>
              <w:t>13.2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老师推荐</w:t>
            </w:r>
          </w:p>
        </w:tc>
        <w:tc>
          <w:tcPr>
            <w:tcW w:w="426" w:type="dxa"/>
            <w:shd w:val="clear" w:color="auto" w:fill="auto"/>
            <w:vAlign w:val="center"/>
          </w:tcPr>
          <w:p>
            <w:pPr>
              <w:pStyle w:val="52"/>
              <w:jc w:val="center"/>
              <w:rPr>
                <w:kern w:val="0"/>
              </w:rPr>
            </w:pPr>
            <w:r>
              <w:rPr>
                <w:kern w:val="0"/>
              </w:rPr>
              <w:t>39</w:t>
            </w:r>
          </w:p>
        </w:tc>
        <w:tc>
          <w:tcPr>
            <w:tcW w:w="584" w:type="dxa"/>
            <w:shd w:val="clear" w:color="auto" w:fill="auto"/>
            <w:vAlign w:val="center"/>
          </w:tcPr>
          <w:p>
            <w:pPr>
              <w:pStyle w:val="52"/>
              <w:jc w:val="center"/>
              <w:rPr>
                <w:kern w:val="0"/>
              </w:rPr>
            </w:pPr>
            <w:r>
              <w:rPr>
                <w:kern w:val="0"/>
              </w:rPr>
              <w:t>30.2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106" w:type="dxa"/>
            <w:shd w:val="clear" w:color="auto" w:fill="auto"/>
            <w:vAlign w:val="center"/>
          </w:tcPr>
          <w:p>
            <w:pPr>
              <w:pStyle w:val="52"/>
              <w:rPr>
                <w:kern w:val="0"/>
              </w:rPr>
            </w:pPr>
            <w:r>
              <w:rPr>
                <w:rFonts w:hint="eastAsia"/>
                <w:kern w:val="0"/>
              </w:rPr>
              <w:t>校友资源</w:t>
            </w:r>
          </w:p>
        </w:tc>
        <w:tc>
          <w:tcPr>
            <w:tcW w:w="426" w:type="dxa"/>
            <w:shd w:val="clear" w:color="auto" w:fill="auto"/>
            <w:vAlign w:val="center"/>
          </w:tcPr>
          <w:p>
            <w:pPr>
              <w:pStyle w:val="52"/>
              <w:jc w:val="center"/>
              <w:rPr>
                <w:kern w:val="0"/>
              </w:rPr>
            </w:pPr>
            <w:r>
              <w:rPr>
                <w:kern w:val="0"/>
              </w:rPr>
              <w:t>48</w:t>
            </w:r>
          </w:p>
        </w:tc>
        <w:tc>
          <w:tcPr>
            <w:tcW w:w="584" w:type="dxa"/>
            <w:shd w:val="clear" w:color="auto" w:fill="auto"/>
            <w:vAlign w:val="center"/>
          </w:tcPr>
          <w:p>
            <w:pPr>
              <w:pStyle w:val="52"/>
              <w:jc w:val="center"/>
              <w:rPr>
                <w:kern w:val="0"/>
              </w:rPr>
            </w:pPr>
            <w:r>
              <w:rPr>
                <w:kern w:val="0"/>
              </w:rPr>
              <w:t>37.2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其他校园渠道</w:t>
            </w:r>
          </w:p>
        </w:tc>
        <w:tc>
          <w:tcPr>
            <w:tcW w:w="426"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6.2</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政府渠道</w:t>
            </w:r>
          </w:p>
        </w:tc>
        <w:tc>
          <w:tcPr>
            <w:tcW w:w="42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3.1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社会渠道</w:t>
            </w:r>
          </w:p>
        </w:tc>
        <w:tc>
          <w:tcPr>
            <w:tcW w:w="426" w:type="dxa"/>
            <w:shd w:val="clear" w:color="auto" w:fill="auto"/>
            <w:vAlign w:val="center"/>
          </w:tcPr>
          <w:p>
            <w:pPr>
              <w:pStyle w:val="52"/>
              <w:jc w:val="center"/>
              <w:rPr>
                <w:kern w:val="0"/>
              </w:rPr>
            </w:pPr>
            <w:r>
              <w:rPr>
                <w:kern w:val="0"/>
              </w:rPr>
              <w:t>34</w:t>
            </w:r>
          </w:p>
        </w:tc>
        <w:tc>
          <w:tcPr>
            <w:tcW w:w="584" w:type="dxa"/>
            <w:shd w:val="clear" w:color="auto" w:fill="auto"/>
            <w:vAlign w:val="center"/>
          </w:tcPr>
          <w:p>
            <w:pPr>
              <w:pStyle w:val="52"/>
              <w:jc w:val="center"/>
              <w:rPr>
                <w:kern w:val="0"/>
              </w:rPr>
            </w:pPr>
            <w:r>
              <w:rPr>
                <w:kern w:val="0"/>
              </w:rPr>
              <w:t>26.4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用人单位自设渠道</w:t>
            </w:r>
          </w:p>
        </w:tc>
        <w:tc>
          <w:tcPr>
            <w:tcW w:w="426" w:type="dxa"/>
            <w:shd w:val="clear" w:color="auto" w:fill="auto"/>
            <w:vAlign w:val="center"/>
          </w:tcPr>
          <w:p>
            <w:pPr>
              <w:pStyle w:val="52"/>
              <w:jc w:val="center"/>
              <w:rPr>
                <w:kern w:val="0"/>
              </w:rPr>
            </w:pPr>
            <w:r>
              <w:rPr>
                <w:kern w:val="0"/>
              </w:rPr>
              <w:t>40</w:t>
            </w:r>
          </w:p>
        </w:tc>
        <w:tc>
          <w:tcPr>
            <w:tcW w:w="584" w:type="dxa"/>
            <w:shd w:val="clear" w:color="auto" w:fill="auto"/>
            <w:vAlign w:val="center"/>
          </w:tcPr>
          <w:p>
            <w:pPr>
              <w:pStyle w:val="52"/>
              <w:jc w:val="center"/>
              <w:rPr>
                <w:kern w:val="0"/>
              </w:rPr>
            </w:pPr>
            <w:r>
              <w:rPr>
                <w:kern w:val="0"/>
              </w:rPr>
              <w:t>31.0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亲友渠道</w:t>
            </w:r>
          </w:p>
        </w:tc>
        <w:tc>
          <w:tcPr>
            <w:tcW w:w="426" w:type="dxa"/>
            <w:shd w:val="clear" w:color="auto" w:fill="auto"/>
            <w:vAlign w:val="center"/>
          </w:tcPr>
          <w:p>
            <w:pPr>
              <w:pStyle w:val="52"/>
              <w:jc w:val="center"/>
              <w:rPr>
                <w:kern w:val="0"/>
              </w:rPr>
            </w:pPr>
            <w:r>
              <w:rPr>
                <w:kern w:val="0"/>
              </w:rPr>
              <w:t>37</w:t>
            </w:r>
          </w:p>
        </w:tc>
        <w:tc>
          <w:tcPr>
            <w:tcW w:w="584" w:type="dxa"/>
            <w:shd w:val="clear" w:color="auto" w:fill="auto"/>
            <w:vAlign w:val="center"/>
          </w:tcPr>
          <w:p>
            <w:pPr>
              <w:pStyle w:val="52"/>
              <w:jc w:val="center"/>
              <w:rPr>
                <w:kern w:val="0"/>
              </w:rPr>
            </w:pPr>
            <w:r>
              <w:rPr>
                <w:kern w:val="0"/>
              </w:rPr>
              <w:t>28.7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106" w:type="dxa"/>
            <w:shd w:val="clear" w:color="auto" w:fill="auto"/>
            <w:vAlign w:val="center"/>
          </w:tcPr>
          <w:p>
            <w:pPr>
              <w:pStyle w:val="52"/>
              <w:rPr>
                <w:kern w:val="0"/>
              </w:rPr>
            </w:pPr>
            <w:r>
              <w:rPr>
                <w:rFonts w:hint="eastAsia"/>
                <w:kern w:val="0"/>
              </w:rPr>
              <w:t>其他渠道</w:t>
            </w:r>
          </w:p>
        </w:tc>
        <w:tc>
          <w:tcPr>
            <w:tcW w:w="426"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2.3</w:t>
            </w:r>
          </w:p>
        </w:tc>
      </w:tr>
    </w:tbl>
    <w:p>
      <w:pPr>
        <w:pStyle w:val="37"/>
        <w:ind w:firstLine="0" w:firstLineChars="0"/>
      </w:pPr>
    </w:p>
    <w:p>
      <w:pPr>
        <w:pStyle w:val="43"/>
        <w:spacing w:before="312" w:after="156"/>
      </w:pPr>
      <w:bookmarkStart w:id="167" w:name="_Toc470167410"/>
      <w:r>
        <w:rPr>
          <w:rFonts w:hint="eastAsia"/>
        </w:rPr>
        <w:t>五、研究生调查数据分析</w:t>
      </w:r>
      <w:bookmarkEnd w:id="167"/>
    </w:p>
    <w:p>
      <w:pPr>
        <w:pStyle w:val="44"/>
        <w:spacing w:before="156"/>
      </w:pPr>
      <w:bookmarkStart w:id="168" w:name="_Toc470167411"/>
      <w:r>
        <w:rPr>
          <w:rFonts w:hint="eastAsia"/>
        </w:rPr>
        <w:t>（一）研究生专业培养及就业创业教育反馈</w:t>
      </w:r>
      <w:bookmarkEnd w:id="168"/>
    </w:p>
    <w:p>
      <w:pPr>
        <w:pStyle w:val="67"/>
      </w:pPr>
      <w:bookmarkStart w:id="169" w:name="_Toc470167412"/>
      <w:r>
        <w:rPr>
          <w:rFonts w:hint="eastAsia"/>
        </w:rPr>
        <w:t>1、专业认同情况</w:t>
      </w:r>
      <w:bookmarkEnd w:id="169"/>
    </w:p>
    <w:p>
      <w:pPr>
        <w:pStyle w:val="70"/>
      </w:pPr>
      <w:r>
        <w:rPr>
          <w:rFonts w:hint="eastAsia"/>
        </w:rPr>
        <w:t>（1）选择本专业的方式</w:t>
      </w:r>
    </w:p>
    <w:p>
      <w:pPr>
        <w:pStyle w:val="75"/>
      </w:pPr>
      <w:bookmarkStart w:id="170" w:name="PO_34111"/>
      <w:bookmarkEnd w:id="170"/>
      <w:r>
        <w:rPr>
          <w:rFonts w:hint="eastAsia"/>
        </w:rPr>
        <w:t>①总体情况</w:t>
      </w:r>
    </w:p>
    <w:p>
      <w:pPr>
        <w:pStyle w:val="37"/>
        <w:ind w:firstLine="480"/>
      </w:pPr>
      <w:r>
        <w:rPr>
          <w:rFonts w:hint="eastAsia"/>
        </w:rPr>
        <w:t>调查研究生如何选择现有所学专业，95.2%的人表示是“自主选择”，2.4%的人表示是“父母意见”，2.4%的人表示是“他人推荐（除父母外）”。</w:t>
      </w:r>
    </w:p>
    <w:p>
      <w:pPr>
        <w:jc w:val="center"/>
      </w:pPr>
      <w:r>
        <w:rPr>
          <w:rFonts w:hint="eastAsia"/>
        </w:rPr>
        <w:drawing>
          <wp:inline distT="0" distB="0" distL="0" distR="0">
            <wp:extent cx="6076950" cy="2743200"/>
            <wp:effectExtent l="0" t="0" r="0" b="0"/>
            <wp:docPr id="34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59"/>
        <w:spacing w:before="156" w:after="312"/>
      </w:pPr>
      <w:r>
        <w:rPr>
          <w:rFonts w:hint="eastAsia"/>
        </w:rPr>
        <w:t>研究生选择本专业的方式</w:t>
      </w:r>
    </w:p>
    <w:p>
      <w:pPr>
        <w:pStyle w:val="75"/>
      </w:pPr>
      <w:r>
        <w:rPr>
          <w:rFonts w:hint="eastAsia"/>
        </w:rPr>
        <w:t>②不同专业研究生专业选择方式</w:t>
      </w:r>
    </w:p>
    <w:p>
      <w:pPr>
        <w:pStyle w:val="37"/>
        <w:ind w:firstLine="480"/>
      </w:pPr>
      <w:r>
        <w:rPr>
          <w:rFonts w:hint="eastAsia"/>
        </w:rPr>
        <w:t>就专业而言，卡方检验显示，不同专业研究生的专业选择方式不存在显著性差异（χ²=2.64，p&gt;0.05）。</w:t>
      </w:r>
    </w:p>
    <w:p>
      <w:pPr>
        <w:jc w:val="center"/>
      </w:pPr>
      <w:r>
        <w:rPr>
          <w:rFonts w:hint="eastAsia"/>
        </w:rPr>
        <w:drawing>
          <wp:inline distT="0" distB="0" distL="0" distR="0">
            <wp:extent cx="6315075" cy="2914650"/>
            <wp:effectExtent l="19050" t="0" r="9525" b="0"/>
            <wp:docPr id="3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59"/>
        <w:spacing w:before="156" w:after="312"/>
      </w:pPr>
      <w:r>
        <w:rPr>
          <w:rFonts w:hint="eastAsia"/>
        </w:rPr>
        <w:t>不同专业研究生选择本专业的方式</w:t>
      </w:r>
    </w:p>
    <w:p>
      <w:pPr>
        <w:pStyle w:val="53"/>
        <w:spacing w:before="312" w:after="156"/>
      </w:pPr>
      <w:r>
        <w:rPr>
          <w:rFonts w:hint="eastAsia"/>
        </w:rPr>
        <w:t>研究生选择本专业的方式</w:t>
      </w:r>
    </w:p>
    <w:tbl>
      <w:tblPr>
        <w:tblStyle w:val="33"/>
        <w:tblW w:w="802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1056"/>
        <w:gridCol w:w="1056"/>
        <w:gridCol w:w="231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442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continue"/>
            <w:shd w:val="clear" w:color="auto" w:fill="auto"/>
            <w:vAlign w:val="center"/>
          </w:tcPr>
          <w:p>
            <w:pPr>
              <w:widowControl/>
              <w:jc w:val="center"/>
              <w:rPr>
                <w:rFonts w:ascii="宋体" w:hAnsi="宋体" w:cs="宋体"/>
                <w:color w:val="000000"/>
                <w:kern w:val="0"/>
                <w:szCs w:val="21"/>
              </w:rPr>
            </w:pP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自主选择</w:t>
            </w: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父母意见</w:t>
            </w:r>
          </w:p>
        </w:tc>
        <w:tc>
          <w:tcPr>
            <w:tcW w:w="231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他人推荐（除父母外）</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93.8</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31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6.3</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x²=2.64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戏剧与影视学</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95.2</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4.8</w:t>
            </w:r>
          </w:p>
        </w:tc>
        <w:tc>
          <w:tcPr>
            <w:tcW w:w="231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艺术学理论</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231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11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42</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95.2</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231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480"/>
      </w:pPr>
    </w:p>
    <w:p>
      <w:pPr>
        <w:pStyle w:val="70"/>
      </w:pPr>
      <w:r>
        <w:rPr>
          <w:rFonts w:hint="eastAsia"/>
        </w:rPr>
        <w:t>（2）对本专业的态度</w:t>
      </w:r>
    </w:p>
    <w:p>
      <w:pPr>
        <w:pStyle w:val="75"/>
      </w:pPr>
      <w:bookmarkStart w:id="171" w:name="PO_34112"/>
      <w:bookmarkEnd w:id="171"/>
      <w:r>
        <w:rPr>
          <w:rFonts w:hint="eastAsia"/>
        </w:rPr>
        <w:t>①总体情况</w:t>
      </w:r>
    </w:p>
    <w:p>
      <w:pPr>
        <w:pStyle w:val="37"/>
        <w:ind w:firstLine="480"/>
      </w:pPr>
      <w:r>
        <w:rPr>
          <w:rFonts w:hint="eastAsia"/>
        </w:rPr>
        <w:t>调查对本专业的态度时，100.0%的研究生表示“很喜欢”或“喜欢”所学专业，</w:t>
      </w:r>
    </w:p>
    <w:p>
      <w:pPr>
        <w:jc w:val="center"/>
      </w:pPr>
      <w:r>
        <w:rPr>
          <w:rFonts w:hint="eastAsia"/>
        </w:rPr>
        <w:drawing>
          <wp:inline distT="0" distB="0" distL="0" distR="0">
            <wp:extent cx="6076950" cy="3077210"/>
            <wp:effectExtent l="19050" t="0" r="19050" b="8890"/>
            <wp:docPr id="34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59"/>
        <w:spacing w:before="156" w:after="312"/>
      </w:pPr>
      <w:r>
        <w:rPr>
          <w:rFonts w:hint="eastAsia"/>
        </w:rPr>
        <w:t>研究生对待本专业的态度</w:t>
      </w:r>
    </w:p>
    <w:p>
      <w:pPr>
        <w:pStyle w:val="75"/>
      </w:pPr>
      <w:r>
        <w:rPr>
          <w:rFonts w:hint="eastAsia"/>
        </w:rPr>
        <w:t>②不同专业研究生对本专业的喜欢程度</w:t>
      </w:r>
    </w:p>
    <w:p>
      <w:pPr>
        <w:pStyle w:val="37"/>
        <w:ind w:firstLine="480"/>
      </w:pPr>
      <w:r>
        <w:rPr>
          <w:rFonts w:hint="eastAsia"/>
        </w:rPr>
        <w:t>就专业而言，方差检验显示，不同专业的研究生对本专业的喜欢程度不存在显著性差异（F=1.60，p&gt;0.05）。</w:t>
      </w:r>
    </w:p>
    <w:p>
      <w:pPr>
        <w:jc w:val="center"/>
      </w:pPr>
      <w:r>
        <w:rPr>
          <w:rFonts w:hint="eastAsia"/>
        </w:rPr>
        <w:drawing>
          <wp:inline distT="0" distB="0" distL="0" distR="0">
            <wp:extent cx="6191250" cy="3590925"/>
            <wp:effectExtent l="0" t="0" r="0" b="0"/>
            <wp:docPr id="3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59"/>
        <w:spacing w:before="156" w:after="312"/>
      </w:pPr>
      <w:r>
        <w:rPr>
          <w:rFonts w:hint="eastAsia"/>
        </w:rPr>
        <w:t>不同专业研究生对待本专业的态度</w:t>
      </w:r>
    </w:p>
    <w:p>
      <w:pPr>
        <w:pStyle w:val="53"/>
        <w:spacing w:before="312" w:after="156"/>
      </w:pPr>
      <w:r>
        <w:rPr>
          <w:rFonts w:hint="eastAsia"/>
        </w:rPr>
        <w:t>研究生对待本专业的态度</w:t>
      </w:r>
    </w:p>
    <w:tbl>
      <w:tblPr>
        <w:tblStyle w:val="33"/>
        <w:tblW w:w="6561"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1482" w:type="dxa"/>
            <w:gridSpan w:val="2"/>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很喜欢</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喜欢</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4.81</w:t>
            </w:r>
          </w:p>
        </w:tc>
        <w:tc>
          <w:tcPr>
            <w:tcW w:w="846" w:type="dxa"/>
            <w:shd w:val="clear" w:color="auto" w:fill="auto"/>
            <w:vAlign w:val="center"/>
          </w:tcPr>
          <w:p>
            <w:pPr>
              <w:widowControl/>
              <w:jc w:val="center"/>
              <w:rPr>
                <w:color w:val="000000"/>
                <w:kern w:val="0"/>
                <w:szCs w:val="21"/>
              </w:rPr>
            </w:pPr>
            <w:r>
              <w:rPr>
                <w:color w:val="000000"/>
                <w:kern w:val="0"/>
                <w:szCs w:val="21"/>
              </w:rPr>
              <w:t>0.40</w:t>
            </w:r>
          </w:p>
        </w:tc>
        <w:tc>
          <w:tcPr>
            <w:tcW w:w="846" w:type="dxa"/>
            <w:vAlign w:val="center"/>
          </w:tcPr>
          <w:p>
            <w:pPr>
              <w:widowControl/>
              <w:jc w:val="center"/>
              <w:rPr>
                <w:color w:val="000000"/>
                <w:kern w:val="0"/>
                <w:szCs w:val="21"/>
              </w:rPr>
            </w:pPr>
            <w:r>
              <w:rPr>
                <w:color w:val="000000"/>
                <w:kern w:val="0"/>
                <w:szCs w:val="21"/>
              </w:rPr>
              <w:t>81.3</w:t>
            </w:r>
          </w:p>
        </w:tc>
        <w:tc>
          <w:tcPr>
            <w:tcW w:w="636" w:type="dxa"/>
            <w:vAlign w:val="center"/>
          </w:tcPr>
          <w:p>
            <w:pPr>
              <w:widowControl/>
              <w:jc w:val="center"/>
              <w:rPr>
                <w:color w:val="000000"/>
                <w:kern w:val="0"/>
                <w:szCs w:val="21"/>
              </w:rPr>
            </w:pPr>
            <w:r>
              <w:rPr>
                <w:color w:val="000000"/>
                <w:kern w:val="0"/>
                <w:szCs w:val="21"/>
              </w:rPr>
              <w:t>18.8</w:t>
            </w:r>
          </w:p>
        </w:tc>
        <w:tc>
          <w:tcPr>
            <w:tcW w:w="1056" w:type="dxa"/>
            <w:vMerge w:val="restart"/>
            <w:shd w:val="clear" w:color="auto" w:fill="auto"/>
            <w:vAlign w:val="center"/>
          </w:tcPr>
          <w:p>
            <w:pPr>
              <w:jc w:val="center"/>
              <w:rPr>
                <w:color w:val="000000"/>
                <w:kern w:val="0"/>
                <w:szCs w:val="21"/>
              </w:rPr>
            </w:pPr>
            <w:r>
              <w:rPr>
                <w:color w:val="000000"/>
                <w:kern w:val="0"/>
                <w:szCs w:val="21"/>
              </w:rPr>
              <w:t>F=1.60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4.71</w:t>
            </w:r>
          </w:p>
        </w:tc>
        <w:tc>
          <w:tcPr>
            <w:tcW w:w="846" w:type="dxa"/>
            <w:shd w:val="clear" w:color="auto" w:fill="auto"/>
            <w:vAlign w:val="center"/>
          </w:tcPr>
          <w:p>
            <w:pPr>
              <w:widowControl/>
              <w:jc w:val="center"/>
              <w:rPr>
                <w:color w:val="000000"/>
                <w:kern w:val="0"/>
                <w:szCs w:val="21"/>
              </w:rPr>
            </w:pPr>
            <w:r>
              <w:rPr>
                <w:color w:val="000000"/>
                <w:kern w:val="0"/>
                <w:szCs w:val="21"/>
              </w:rPr>
              <w:t>0.46</w:t>
            </w:r>
          </w:p>
        </w:tc>
        <w:tc>
          <w:tcPr>
            <w:tcW w:w="846" w:type="dxa"/>
            <w:vAlign w:val="center"/>
          </w:tcPr>
          <w:p>
            <w:pPr>
              <w:widowControl/>
              <w:jc w:val="center"/>
              <w:rPr>
                <w:color w:val="000000"/>
                <w:kern w:val="0"/>
                <w:szCs w:val="21"/>
              </w:rPr>
            </w:pPr>
            <w:r>
              <w:rPr>
                <w:color w:val="000000"/>
                <w:kern w:val="0"/>
                <w:szCs w:val="21"/>
              </w:rPr>
              <w:t>71.4</w:t>
            </w:r>
          </w:p>
        </w:tc>
        <w:tc>
          <w:tcPr>
            <w:tcW w:w="636" w:type="dxa"/>
            <w:vAlign w:val="center"/>
          </w:tcPr>
          <w:p>
            <w:pPr>
              <w:widowControl/>
              <w:jc w:val="center"/>
              <w:rPr>
                <w:color w:val="000000"/>
                <w:kern w:val="0"/>
                <w:szCs w:val="21"/>
              </w:rPr>
            </w:pPr>
            <w:r>
              <w:rPr>
                <w:color w:val="000000"/>
                <w:kern w:val="0"/>
                <w:szCs w:val="21"/>
              </w:rPr>
              <w:t>28.6</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4.40</w:t>
            </w:r>
          </w:p>
        </w:tc>
        <w:tc>
          <w:tcPr>
            <w:tcW w:w="846" w:type="dxa"/>
            <w:shd w:val="clear" w:color="auto" w:fill="auto"/>
            <w:vAlign w:val="center"/>
          </w:tcPr>
          <w:p>
            <w:pPr>
              <w:widowControl/>
              <w:jc w:val="center"/>
              <w:rPr>
                <w:color w:val="000000"/>
                <w:kern w:val="0"/>
                <w:szCs w:val="21"/>
              </w:rPr>
            </w:pPr>
            <w:r>
              <w:rPr>
                <w:color w:val="000000"/>
                <w:kern w:val="0"/>
                <w:szCs w:val="21"/>
              </w:rPr>
              <w:t>0.55</w:t>
            </w:r>
          </w:p>
        </w:tc>
        <w:tc>
          <w:tcPr>
            <w:tcW w:w="846" w:type="dxa"/>
            <w:vAlign w:val="center"/>
          </w:tcPr>
          <w:p>
            <w:pPr>
              <w:widowControl/>
              <w:jc w:val="center"/>
              <w:rPr>
                <w:color w:val="000000"/>
                <w:kern w:val="0"/>
                <w:szCs w:val="21"/>
              </w:rPr>
            </w:pPr>
            <w:r>
              <w:rPr>
                <w:color w:val="000000"/>
                <w:kern w:val="0"/>
                <w:szCs w:val="21"/>
              </w:rPr>
              <w:t>40.0</w:t>
            </w:r>
          </w:p>
        </w:tc>
        <w:tc>
          <w:tcPr>
            <w:tcW w:w="636" w:type="dxa"/>
            <w:vAlign w:val="center"/>
          </w:tcPr>
          <w:p>
            <w:pPr>
              <w:widowControl/>
              <w:jc w:val="center"/>
              <w:rPr>
                <w:color w:val="000000"/>
                <w:kern w:val="0"/>
                <w:szCs w:val="21"/>
              </w:rPr>
            </w:pPr>
            <w:r>
              <w:rPr>
                <w:color w:val="000000"/>
                <w:kern w:val="0"/>
                <w:szCs w:val="21"/>
              </w:rPr>
              <w:t>60.0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4.71</w:t>
            </w:r>
          </w:p>
        </w:tc>
        <w:tc>
          <w:tcPr>
            <w:tcW w:w="846" w:type="dxa"/>
            <w:shd w:val="clear" w:color="auto" w:fill="auto"/>
            <w:vAlign w:val="center"/>
          </w:tcPr>
          <w:p>
            <w:pPr>
              <w:widowControl/>
              <w:jc w:val="center"/>
              <w:rPr>
                <w:color w:val="000000"/>
                <w:kern w:val="0"/>
                <w:szCs w:val="21"/>
              </w:rPr>
            </w:pPr>
            <w:r>
              <w:rPr>
                <w:color w:val="000000"/>
                <w:kern w:val="0"/>
                <w:szCs w:val="21"/>
              </w:rPr>
              <w:t>0.46</w:t>
            </w:r>
          </w:p>
        </w:tc>
        <w:tc>
          <w:tcPr>
            <w:tcW w:w="846" w:type="dxa"/>
            <w:vAlign w:val="center"/>
          </w:tcPr>
          <w:p>
            <w:pPr>
              <w:widowControl/>
              <w:jc w:val="center"/>
              <w:rPr>
                <w:color w:val="000000"/>
                <w:kern w:val="0"/>
                <w:szCs w:val="21"/>
              </w:rPr>
            </w:pPr>
            <w:r>
              <w:rPr>
                <w:color w:val="000000"/>
                <w:kern w:val="0"/>
                <w:szCs w:val="21"/>
              </w:rPr>
              <w:t>71.4</w:t>
            </w:r>
          </w:p>
        </w:tc>
        <w:tc>
          <w:tcPr>
            <w:tcW w:w="636" w:type="dxa"/>
            <w:vAlign w:val="center"/>
          </w:tcPr>
          <w:p>
            <w:pPr>
              <w:widowControl/>
              <w:jc w:val="center"/>
              <w:rPr>
                <w:color w:val="000000"/>
                <w:kern w:val="0"/>
                <w:szCs w:val="21"/>
              </w:rPr>
            </w:pPr>
            <w:r>
              <w:rPr>
                <w:color w:val="000000"/>
                <w:kern w:val="0"/>
                <w:szCs w:val="21"/>
              </w:rPr>
              <w:t>28.6</w:t>
            </w:r>
          </w:p>
        </w:tc>
        <w:tc>
          <w:tcPr>
            <w:tcW w:w="1056" w:type="dxa"/>
            <w:shd w:val="clear" w:color="auto" w:fill="auto"/>
            <w:vAlign w:val="center"/>
          </w:tcPr>
          <w:p>
            <w:pPr>
              <w:widowControl/>
              <w:jc w:val="center"/>
              <w:rPr>
                <w:color w:val="000000"/>
                <w:kern w:val="0"/>
                <w:szCs w:val="21"/>
              </w:rPr>
            </w:pPr>
          </w:p>
        </w:tc>
      </w:tr>
    </w:tbl>
    <w:p>
      <w:pPr>
        <w:pStyle w:val="37"/>
        <w:ind w:firstLine="400"/>
      </w:pPr>
      <w:r>
        <w:rPr>
          <w:rFonts w:hint="eastAsia"/>
          <w:sz w:val="20"/>
          <w:szCs w:val="20"/>
        </w:rPr>
        <w:t>注：得分5=很喜欢，4=喜欢，3=不好说，2=不喜欢，1=很不喜欢</w:t>
      </w:r>
    </w:p>
    <w:p>
      <w:pPr>
        <w:pStyle w:val="70"/>
      </w:pPr>
      <w:r>
        <w:rPr>
          <w:rFonts w:hint="eastAsia"/>
        </w:rPr>
        <w:t>（3）从事本专业相关工作的意愿</w:t>
      </w:r>
    </w:p>
    <w:p>
      <w:pPr>
        <w:pStyle w:val="75"/>
      </w:pPr>
      <w:bookmarkStart w:id="172" w:name="PO_34113"/>
      <w:bookmarkEnd w:id="172"/>
      <w:r>
        <w:rPr>
          <w:rFonts w:hint="eastAsia"/>
        </w:rPr>
        <w:t>①总体情况</w:t>
      </w:r>
    </w:p>
    <w:p>
      <w:pPr>
        <w:pStyle w:val="37"/>
        <w:ind w:firstLine="480"/>
      </w:pPr>
      <w:r>
        <w:rPr>
          <w:rFonts w:hint="eastAsia"/>
        </w:rPr>
        <w:t>对于从事本专业相关工作的意愿，100.0%的研究生表示“很愿意”或“愿意”。</w:t>
      </w:r>
    </w:p>
    <w:p>
      <w:pPr>
        <w:jc w:val="center"/>
      </w:pPr>
      <w:r>
        <w:rPr>
          <w:rFonts w:hint="eastAsia"/>
        </w:rPr>
        <w:drawing>
          <wp:inline distT="0" distB="0" distL="0" distR="0">
            <wp:extent cx="6076950" cy="3077210"/>
            <wp:effectExtent l="0" t="0" r="0" b="0"/>
            <wp:docPr id="35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59"/>
        <w:spacing w:before="156" w:after="312"/>
      </w:pPr>
      <w:r>
        <w:rPr>
          <w:rFonts w:hint="eastAsia"/>
        </w:rPr>
        <w:t>研究生对从事本专业相关工作的意愿</w:t>
      </w:r>
    </w:p>
    <w:p>
      <w:pPr>
        <w:pStyle w:val="75"/>
      </w:pPr>
      <w:r>
        <w:rPr>
          <w:rFonts w:hint="eastAsia"/>
        </w:rPr>
        <w:t>②不同专业研究生对从事本专业相关工作的意愿</w:t>
      </w:r>
    </w:p>
    <w:p>
      <w:pPr>
        <w:pStyle w:val="37"/>
        <w:ind w:firstLine="480"/>
      </w:pPr>
      <w:r>
        <w:rPr>
          <w:rFonts w:hint="eastAsia"/>
        </w:rPr>
        <w:t>就专业而言，方差检验显示，不同专业的研究生对从事本专业相关工作的意愿不存在显著性差异（F=2.65，p&gt;0.05）。</w:t>
      </w:r>
    </w:p>
    <w:p>
      <w:pPr>
        <w:jc w:val="center"/>
      </w:pPr>
      <w:r>
        <w:rPr>
          <w:rFonts w:hint="eastAsia"/>
        </w:rPr>
        <w:drawing>
          <wp:inline distT="0" distB="0" distL="0" distR="0">
            <wp:extent cx="6124575" cy="3077210"/>
            <wp:effectExtent l="19050" t="0" r="9525" b="8890"/>
            <wp:docPr id="35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59"/>
        <w:spacing w:before="156" w:after="312"/>
      </w:pPr>
      <w:r>
        <w:rPr>
          <w:rFonts w:hint="eastAsia"/>
        </w:rPr>
        <w:t>不同专业研究生对从事本专业相关工作的意愿</w:t>
      </w:r>
    </w:p>
    <w:p>
      <w:pPr>
        <w:pStyle w:val="53"/>
        <w:spacing w:before="312" w:after="156"/>
      </w:pPr>
      <w:r>
        <w:rPr>
          <w:rFonts w:hint="eastAsia"/>
        </w:rPr>
        <w:t>研究生对从事本专业相关工作的意愿</w:t>
      </w:r>
    </w:p>
    <w:tbl>
      <w:tblPr>
        <w:tblStyle w:val="33"/>
        <w:tblW w:w="6561"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1482" w:type="dxa"/>
            <w:gridSpan w:val="2"/>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很愿意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愿意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4.88</w:t>
            </w:r>
          </w:p>
        </w:tc>
        <w:tc>
          <w:tcPr>
            <w:tcW w:w="846" w:type="dxa"/>
            <w:shd w:val="clear" w:color="auto" w:fill="auto"/>
            <w:vAlign w:val="center"/>
          </w:tcPr>
          <w:p>
            <w:pPr>
              <w:widowControl/>
              <w:jc w:val="center"/>
              <w:rPr>
                <w:color w:val="000000"/>
                <w:kern w:val="0"/>
                <w:szCs w:val="21"/>
              </w:rPr>
            </w:pPr>
            <w:r>
              <w:rPr>
                <w:color w:val="000000"/>
                <w:kern w:val="0"/>
                <w:szCs w:val="21"/>
              </w:rPr>
              <w:t>0.34</w:t>
            </w:r>
          </w:p>
        </w:tc>
        <w:tc>
          <w:tcPr>
            <w:tcW w:w="846" w:type="dxa"/>
            <w:vAlign w:val="center"/>
          </w:tcPr>
          <w:p>
            <w:pPr>
              <w:widowControl/>
              <w:jc w:val="center"/>
              <w:rPr>
                <w:color w:val="000000"/>
                <w:kern w:val="0"/>
                <w:szCs w:val="21"/>
              </w:rPr>
            </w:pPr>
            <w:r>
              <w:rPr>
                <w:color w:val="000000"/>
                <w:kern w:val="0"/>
                <w:szCs w:val="21"/>
              </w:rPr>
              <w:t>87.5</w:t>
            </w:r>
          </w:p>
        </w:tc>
        <w:tc>
          <w:tcPr>
            <w:tcW w:w="636" w:type="dxa"/>
            <w:vAlign w:val="center"/>
          </w:tcPr>
          <w:p>
            <w:pPr>
              <w:widowControl/>
              <w:jc w:val="center"/>
              <w:rPr>
                <w:color w:val="000000"/>
                <w:kern w:val="0"/>
                <w:szCs w:val="21"/>
              </w:rPr>
            </w:pPr>
            <w:r>
              <w:rPr>
                <w:color w:val="000000"/>
                <w:kern w:val="0"/>
                <w:szCs w:val="21"/>
              </w:rPr>
              <w:t>12.5</w:t>
            </w:r>
          </w:p>
        </w:tc>
        <w:tc>
          <w:tcPr>
            <w:tcW w:w="1056" w:type="dxa"/>
            <w:vMerge w:val="restart"/>
            <w:shd w:val="clear" w:color="auto" w:fill="auto"/>
            <w:vAlign w:val="center"/>
          </w:tcPr>
          <w:p>
            <w:pPr>
              <w:jc w:val="center"/>
              <w:rPr>
                <w:color w:val="000000"/>
                <w:kern w:val="0"/>
                <w:szCs w:val="21"/>
              </w:rPr>
            </w:pPr>
            <w:r>
              <w:rPr>
                <w:color w:val="000000"/>
                <w:kern w:val="0"/>
                <w:szCs w:val="21"/>
              </w:rPr>
              <w:t>F=2.65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4.62</w:t>
            </w:r>
          </w:p>
        </w:tc>
        <w:tc>
          <w:tcPr>
            <w:tcW w:w="846" w:type="dxa"/>
            <w:shd w:val="clear" w:color="auto" w:fill="auto"/>
            <w:vAlign w:val="center"/>
          </w:tcPr>
          <w:p>
            <w:pPr>
              <w:widowControl/>
              <w:jc w:val="center"/>
              <w:rPr>
                <w:color w:val="000000"/>
                <w:kern w:val="0"/>
                <w:szCs w:val="21"/>
              </w:rPr>
            </w:pPr>
            <w:r>
              <w:rPr>
                <w:color w:val="000000"/>
                <w:kern w:val="0"/>
                <w:szCs w:val="21"/>
              </w:rPr>
              <w:t>0.50</w:t>
            </w:r>
          </w:p>
        </w:tc>
        <w:tc>
          <w:tcPr>
            <w:tcW w:w="846" w:type="dxa"/>
            <w:vAlign w:val="center"/>
          </w:tcPr>
          <w:p>
            <w:pPr>
              <w:widowControl/>
              <w:jc w:val="center"/>
              <w:rPr>
                <w:color w:val="000000"/>
                <w:kern w:val="0"/>
                <w:szCs w:val="21"/>
              </w:rPr>
            </w:pPr>
            <w:r>
              <w:rPr>
                <w:color w:val="000000"/>
                <w:kern w:val="0"/>
                <w:szCs w:val="21"/>
              </w:rPr>
              <w:t>61.9</w:t>
            </w:r>
          </w:p>
        </w:tc>
        <w:tc>
          <w:tcPr>
            <w:tcW w:w="636" w:type="dxa"/>
            <w:vAlign w:val="center"/>
          </w:tcPr>
          <w:p>
            <w:pPr>
              <w:widowControl/>
              <w:jc w:val="center"/>
              <w:rPr>
                <w:color w:val="000000"/>
                <w:kern w:val="0"/>
                <w:szCs w:val="21"/>
              </w:rPr>
            </w:pPr>
            <w:r>
              <w:rPr>
                <w:color w:val="000000"/>
                <w:kern w:val="0"/>
                <w:szCs w:val="21"/>
              </w:rPr>
              <w:t>38.1</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4.40</w:t>
            </w:r>
          </w:p>
        </w:tc>
        <w:tc>
          <w:tcPr>
            <w:tcW w:w="846" w:type="dxa"/>
            <w:shd w:val="clear" w:color="auto" w:fill="auto"/>
            <w:vAlign w:val="center"/>
          </w:tcPr>
          <w:p>
            <w:pPr>
              <w:widowControl/>
              <w:jc w:val="center"/>
              <w:rPr>
                <w:color w:val="000000"/>
                <w:kern w:val="0"/>
                <w:szCs w:val="21"/>
              </w:rPr>
            </w:pPr>
            <w:r>
              <w:rPr>
                <w:color w:val="000000"/>
                <w:kern w:val="0"/>
                <w:szCs w:val="21"/>
              </w:rPr>
              <w:t>0.55</w:t>
            </w:r>
          </w:p>
        </w:tc>
        <w:tc>
          <w:tcPr>
            <w:tcW w:w="846" w:type="dxa"/>
            <w:vAlign w:val="center"/>
          </w:tcPr>
          <w:p>
            <w:pPr>
              <w:widowControl/>
              <w:jc w:val="center"/>
              <w:rPr>
                <w:color w:val="000000"/>
                <w:kern w:val="0"/>
                <w:szCs w:val="21"/>
              </w:rPr>
            </w:pPr>
            <w:r>
              <w:rPr>
                <w:color w:val="000000"/>
                <w:kern w:val="0"/>
                <w:szCs w:val="21"/>
              </w:rPr>
              <w:t>40.0</w:t>
            </w:r>
          </w:p>
        </w:tc>
        <w:tc>
          <w:tcPr>
            <w:tcW w:w="636" w:type="dxa"/>
            <w:vAlign w:val="center"/>
          </w:tcPr>
          <w:p>
            <w:pPr>
              <w:widowControl/>
              <w:jc w:val="center"/>
              <w:rPr>
                <w:color w:val="000000"/>
                <w:kern w:val="0"/>
                <w:szCs w:val="21"/>
              </w:rPr>
            </w:pPr>
            <w:r>
              <w:rPr>
                <w:color w:val="000000"/>
                <w:kern w:val="0"/>
                <w:szCs w:val="21"/>
              </w:rPr>
              <w:t>60.0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4.69</w:t>
            </w:r>
          </w:p>
        </w:tc>
        <w:tc>
          <w:tcPr>
            <w:tcW w:w="846" w:type="dxa"/>
            <w:shd w:val="clear" w:color="auto" w:fill="auto"/>
            <w:vAlign w:val="center"/>
          </w:tcPr>
          <w:p>
            <w:pPr>
              <w:widowControl/>
              <w:jc w:val="center"/>
              <w:rPr>
                <w:color w:val="000000"/>
                <w:kern w:val="0"/>
                <w:szCs w:val="21"/>
              </w:rPr>
            </w:pPr>
            <w:r>
              <w:rPr>
                <w:color w:val="000000"/>
                <w:kern w:val="0"/>
                <w:szCs w:val="21"/>
              </w:rPr>
              <w:t>0.47</w:t>
            </w:r>
          </w:p>
        </w:tc>
        <w:tc>
          <w:tcPr>
            <w:tcW w:w="846" w:type="dxa"/>
            <w:vAlign w:val="center"/>
          </w:tcPr>
          <w:p>
            <w:pPr>
              <w:widowControl/>
              <w:jc w:val="center"/>
              <w:rPr>
                <w:color w:val="000000"/>
                <w:kern w:val="0"/>
                <w:szCs w:val="21"/>
              </w:rPr>
            </w:pPr>
            <w:r>
              <w:rPr>
                <w:color w:val="000000"/>
                <w:kern w:val="0"/>
                <w:szCs w:val="21"/>
              </w:rPr>
              <w:t>69.0</w:t>
            </w:r>
          </w:p>
        </w:tc>
        <w:tc>
          <w:tcPr>
            <w:tcW w:w="636" w:type="dxa"/>
            <w:vAlign w:val="center"/>
          </w:tcPr>
          <w:p>
            <w:pPr>
              <w:widowControl/>
              <w:jc w:val="center"/>
              <w:rPr>
                <w:color w:val="000000"/>
                <w:kern w:val="0"/>
                <w:szCs w:val="21"/>
              </w:rPr>
            </w:pPr>
            <w:r>
              <w:rPr>
                <w:color w:val="000000"/>
                <w:kern w:val="0"/>
                <w:szCs w:val="21"/>
              </w:rPr>
              <w:t>31.0</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注：得分5=很愿意，4=愿意，3=不好说，2=不愿意，1=很不愿意</w:t>
      </w:r>
    </w:p>
    <w:p>
      <w:pPr>
        <w:pStyle w:val="37"/>
        <w:ind w:firstLine="480"/>
      </w:pPr>
    </w:p>
    <w:p>
      <w:pPr>
        <w:pStyle w:val="67"/>
      </w:pPr>
      <w:bookmarkStart w:id="173" w:name="_Toc470167413"/>
      <w:r>
        <w:rPr>
          <w:rFonts w:hint="eastAsia"/>
        </w:rPr>
        <w:t>2、专业培养情况</w:t>
      </w:r>
      <w:bookmarkEnd w:id="173"/>
    </w:p>
    <w:p>
      <w:pPr>
        <w:pStyle w:val="70"/>
      </w:pPr>
      <w:r>
        <w:rPr>
          <w:rFonts w:hint="eastAsia"/>
        </w:rPr>
        <w:t>（1）对本专业课程设置的评价</w:t>
      </w:r>
    </w:p>
    <w:p>
      <w:pPr>
        <w:pStyle w:val="75"/>
      </w:pPr>
      <w:bookmarkStart w:id="174" w:name="PO_34121"/>
      <w:bookmarkEnd w:id="174"/>
      <w:r>
        <w:rPr>
          <w:rFonts w:hint="eastAsia"/>
        </w:rPr>
        <w:t>①总体情况</w:t>
      </w:r>
    </w:p>
    <w:p>
      <w:pPr>
        <w:pStyle w:val="37"/>
        <w:ind w:firstLine="480"/>
      </w:pPr>
      <w:r>
        <w:rPr>
          <w:rFonts w:hint="eastAsia"/>
        </w:rPr>
        <w:t>对于本专业课程设置的满意程度，88.1%的研究生表示“很满意”或“满意”，7.1%认为“不好说”，4.8%则表示“不满意”。</w:t>
      </w:r>
    </w:p>
    <w:p>
      <w:pPr>
        <w:jc w:val="center"/>
      </w:pPr>
      <w:r>
        <w:rPr>
          <w:rFonts w:hint="eastAsia"/>
        </w:rPr>
        <w:drawing>
          <wp:inline distT="0" distB="0" distL="0" distR="0">
            <wp:extent cx="6076950" cy="3077210"/>
            <wp:effectExtent l="0" t="0" r="0" b="0"/>
            <wp:docPr id="1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59"/>
        <w:spacing w:before="156" w:after="312"/>
      </w:pPr>
      <w:r>
        <w:rPr>
          <w:rFonts w:hint="eastAsia"/>
        </w:rPr>
        <w:t>研究生对本专业课程设置的评价</w:t>
      </w:r>
    </w:p>
    <w:p>
      <w:pPr>
        <w:pStyle w:val="75"/>
      </w:pPr>
      <w:r>
        <w:rPr>
          <w:rFonts w:hint="eastAsia"/>
        </w:rPr>
        <w:t>②不同专业研究生对本专业课程设置的评价</w:t>
      </w:r>
    </w:p>
    <w:p>
      <w:pPr>
        <w:pStyle w:val="37"/>
        <w:ind w:firstLine="480"/>
      </w:pPr>
      <w:r>
        <w:rPr>
          <w:rFonts w:hint="eastAsia"/>
        </w:rPr>
        <w:t>就专业而言，方差检验显示，不同专业的研究生对本专业课程设置的评价不存在显著性差异（F=1.09，p&gt;0.05）。</w:t>
      </w:r>
    </w:p>
    <w:p>
      <w:pPr>
        <w:jc w:val="center"/>
      </w:pPr>
      <w:r>
        <w:rPr>
          <w:rFonts w:hint="eastAsia"/>
        </w:rPr>
        <w:drawing>
          <wp:inline distT="0" distB="0" distL="0" distR="0">
            <wp:extent cx="6124575" cy="3629025"/>
            <wp:effectExtent l="0" t="0" r="0" b="0"/>
            <wp:docPr id="1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59"/>
        <w:spacing w:before="156" w:after="312"/>
      </w:pPr>
      <w:r>
        <w:rPr>
          <w:rFonts w:hint="eastAsia"/>
        </w:rPr>
        <w:t>不同专业研究生对本专业课程设置的评价</w:t>
      </w:r>
    </w:p>
    <w:p>
      <w:pPr>
        <w:pStyle w:val="53"/>
        <w:spacing w:before="312" w:after="156"/>
      </w:pPr>
      <w:r>
        <w:rPr>
          <w:rFonts w:hint="eastAsia"/>
        </w:rPr>
        <w:t>研究生对本专业课程设置的评价</w:t>
      </w:r>
    </w:p>
    <w:tbl>
      <w:tblPr>
        <w:tblStyle w:val="33"/>
        <w:tblW w:w="825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174"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4.44</w:t>
            </w:r>
          </w:p>
        </w:tc>
        <w:tc>
          <w:tcPr>
            <w:tcW w:w="846" w:type="dxa"/>
            <w:shd w:val="clear" w:color="auto" w:fill="auto"/>
            <w:vAlign w:val="center"/>
          </w:tcPr>
          <w:p>
            <w:pPr>
              <w:widowControl/>
              <w:jc w:val="center"/>
              <w:rPr>
                <w:color w:val="000000"/>
                <w:kern w:val="0"/>
                <w:szCs w:val="21"/>
              </w:rPr>
            </w:pPr>
            <w:r>
              <w:rPr>
                <w:color w:val="000000"/>
                <w:kern w:val="0"/>
                <w:szCs w:val="21"/>
              </w:rPr>
              <w:t>0.73</w:t>
            </w:r>
          </w:p>
        </w:tc>
        <w:tc>
          <w:tcPr>
            <w:tcW w:w="846" w:type="dxa"/>
            <w:vAlign w:val="center"/>
          </w:tcPr>
          <w:p>
            <w:pPr>
              <w:widowControl/>
              <w:jc w:val="center"/>
              <w:rPr>
                <w:color w:val="000000"/>
                <w:kern w:val="0"/>
                <w:szCs w:val="21"/>
              </w:rPr>
            </w:pPr>
            <w:r>
              <w:rPr>
                <w:color w:val="000000"/>
                <w:kern w:val="0"/>
                <w:szCs w:val="21"/>
              </w:rPr>
              <w:t>56.3</w:t>
            </w:r>
          </w:p>
        </w:tc>
        <w:tc>
          <w:tcPr>
            <w:tcW w:w="636" w:type="dxa"/>
            <w:vAlign w:val="center"/>
          </w:tcPr>
          <w:p>
            <w:pPr>
              <w:widowControl/>
              <w:jc w:val="center"/>
              <w:rPr>
                <w:color w:val="000000"/>
                <w:kern w:val="0"/>
                <w:szCs w:val="21"/>
              </w:rPr>
            </w:pPr>
            <w:r>
              <w:rPr>
                <w:color w:val="000000"/>
                <w:kern w:val="0"/>
                <w:szCs w:val="21"/>
              </w:rPr>
              <w:t>31.3</w:t>
            </w:r>
          </w:p>
        </w:tc>
        <w:tc>
          <w:tcPr>
            <w:tcW w:w="846" w:type="dxa"/>
            <w:vAlign w:val="center"/>
          </w:tcPr>
          <w:p>
            <w:pPr>
              <w:widowControl/>
              <w:jc w:val="center"/>
              <w:rPr>
                <w:color w:val="000000"/>
                <w:kern w:val="0"/>
                <w:szCs w:val="21"/>
              </w:rPr>
            </w:pPr>
            <w:r>
              <w:rPr>
                <w:color w:val="000000"/>
                <w:kern w:val="0"/>
                <w:szCs w:val="21"/>
              </w:rPr>
              <w:t>12.5</w:t>
            </w:r>
          </w:p>
        </w:tc>
        <w:tc>
          <w:tcPr>
            <w:tcW w:w="84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F=1.09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4.10</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846" w:type="dxa"/>
            <w:vAlign w:val="center"/>
          </w:tcPr>
          <w:p>
            <w:pPr>
              <w:widowControl/>
              <w:jc w:val="center"/>
              <w:rPr>
                <w:color w:val="000000"/>
                <w:kern w:val="0"/>
                <w:szCs w:val="21"/>
              </w:rPr>
            </w:pPr>
            <w:r>
              <w:rPr>
                <w:color w:val="000000"/>
                <w:kern w:val="0"/>
                <w:szCs w:val="21"/>
              </w:rPr>
              <w:t>28.6</w:t>
            </w:r>
          </w:p>
        </w:tc>
        <w:tc>
          <w:tcPr>
            <w:tcW w:w="636" w:type="dxa"/>
            <w:vAlign w:val="center"/>
          </w:tcPr>
          <w:p>
            <w:pPr>
              <w:widowControl/>
              <w:jc w:val="center"/>
              <w:rPr>
                <w:color w:val="000000"/>
                <w:kern w:val="0"/>
                <w:szCs w:val="21"/>
              </w:rPr>
            </w:pPr>
            <w:r>
              <w:rPr>
                <w:color w:val="000000"/>
                <w:kern w:val="0"/>
                <w:szCs w:val="21"/>
              </w:rPr>
              <w:t>61.9</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9.5</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4.21</w:t>
            </w:r>
          </w:p>
        </w:tc>
        <w:tc>
          <w:tcPr>
            <w:tcW w:w="846" w:type="dxa"/>
            <w:shd w:val="clear" w:color="auto" w:fill="auto"/>
            <w:vAlign w:val="center"/>
          </w:tcPr>
          <w:p>
            <w:pPr>
              <w:widowControl/>
              <w:jc w:val="center"/>
              <w:rPr>
                <w:color w:val="000000"/>
                <w:kern w:val="0"/>
                <w:szCs w:val="21"/>
              </w:rPr>
            </w:pPr>
            <w:r>
              <w:rPr>
                <w:color w:val="000000"/>
                <w:kern w:val="0"/>
                <w:szCs w:val="21"/>
              </w:rPr>
              <w:t>0.78</w:t>
            </w:r>
          </w:p>
        </w:tc>
        <w:tc>
          <w:tcPr>
            <w:tcW w:w="846" w:type="dxa"/>
            <w:vAlign w:val="center"/>
          </w:tcPr>
          <w:p>
            <w:pPr>
              <w:widowControl/>
              <w:jc w:val="center"/>
              <w:rPr>
                <w:color w:val="000000"/>
                <w:kern w:val="0"/>
                <w:szCs w:val="21"/>
              </w:rPr>
            </w:pPr>
            <w:r>
              <w:rPr>
                <w:color w:val="000000"/>
                <w:kern w:val="0"/>
                <w:szCs w:val="21"/>
              </w:rPr>
              <w:t>38.1</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7.1</w:t>
            </w:r>
          </w:p>
        </w:tc>
        <w:tc>
          <w:tcPr>
            <w:tcW w:w="846" w:type="dxa"/>
            <w:vAlign w:val="center"/>
          </w:tcPr>
          <w:p>
            <w:pPr>
              <w:widowControl/>
              <w:jc w:val="center"/>
              <w:rPr>
                <w:color w:val="000000"/>
                <w:kern w:val="0"/>
                <w:szCs w:val="21"/>
              </w:rPr>
            </w:pPr>
            <w:r>
              <w:rPr>
                <w:color w:val="000000"/>
                <w:kern w:val="0"/>
                <w:szCs w:val="21"/>
              </w:rPr>
              <w:t>4.8</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Pr>
        <w:pStyle w:val="37"/>
        <w:ind w:firstLine="480"/>
      </w:pPr>
    </w:p>
    <w:p>
      <w:pPr>
        <w:pStyle w:val="70"/>
      </w:pPr>
      <w:r>
        <w:rPr>
          <w:rFonts w:hint="eastAsia"/>
        </w:rPr>
        <w:t>（2）对本专业教师授课水平的评价</w:t>
      </w:r>
    </w:p>
    <w:p>
      <w:pPr>
        <w:pStyle w:val="75"/>
      </w:pPr>
      <w:bookmarkStart w:id="175" w:name="PO_34122"/>
      <w:bookmarkEnd w:id="175"/>
      <w:r>
        <w:rPr>
          <w:rFonts w:hint="eastAsia"/>
        </w:rPr>
        <w:t>①总体情况</w:t>
      </w:r>
    </w:p>
    <w:p>
      <w:pPr>
        <w:pStyle w:val="37"/>
        <w:ind w:firstLine="480"/>
      </w:pPr>
      <w:r>
        <w:rPr>
          <w:rFonts w:hint="eastAsia"/>
        </w:rPr>
        <w:t>对于专业教师授课水平的评价，95.2%的研究生表示“很满意”或“满意”，2.4%认为“不好说”，2.4%则表示“不满意”。</w:t>
      </w:r>
    </w:p>
    <w:p>
      <w:pPr>
        <w:jc w:val="center"/>
      </w:pPr>
      <w:r>
        <w:rPr>
          <w:rFonts w:hint="eastAsia"/>
        </w:rPr>
        <w:drawing>
          <wp:inline distT="0" distB="0" distL="0" distR="0">
            <wp:extent cx="6076950" cy="3077210"/>
            <wp:effectExtent l="19050" t="0" r="19050" b="8890"/>
            <wp:docPr id="1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59"/>
        <w:spacing w:before="156" w:after="312"/>
      </w:pPr>
      <w:r>
        <w:rPr>
          <w:rFonts w:hint="eastAsia"/>
        </w:rPr>
        <w:t>研究生对本专业教师授课水平的评价</w:t>
      </w:r>
    </w:p>
    <w:p>
      <w:pPr>
        <w:pStyle w:val="75"/>
      </w:pPr>
      <w:r>
        <w:rPr>
          <w:rFonts w:hint="eastAsia"/>
        </w:rPr>
        <w:t>②不同专业研究生对本专业教师授课水平的评价</w:t>
      </w:r>
    </w:p>
    <w:p>
      <w:pPr>
        <w:pStyle w:val="37"/>
        <w:ind w:firstLine="480"/>
      </w:pPr>
      <w:r>
        <w:rPr>
          <w:rFonts w:hint="eastAsia"/>
        </w:rPr>
        <w:t>就专业而言，方差检验显示，不同专业的研究生对本专业教师授课水平的评价不存在显著性差异（F=1.19，p&gt;0.05）。</w:t>
      </w:r>
    </w:p>
    <w:p>
      <w:pPr>
        <w:jc w:val="center"/>
      </w:pPr>
      <w:r>
        <w:rPr>
          <w:rFonts w:hint="eastAsia"/>
        </w:rPr>
        <w:drawing>
          <wp:inline distT="0" distB="0" distL="0" distR="0">
            <wp:extent cx="6124575" cy="3077210"/>
            <wp:effectExtent l="19050" t="0" r="9525" b="8890"/>
            <wp:docPr id="1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59"/>
        <w:spacing w:before="156" w:after="312"/>
      </w:pPr>
      <w:r>
        <w:rPr>
          <w:rFonts w:hint="eastAsia"/>
        </w:rPr>
        <w:t>不同专业研究生对本专业教师授课水平的评价</w:t>
      </w:r>
    </w:p>
    <w:p>
      <w:pPr>
        <w:pStyle w:val="53"/>
        <w:spacing w:before="312" w:after="156"/>
      </w:pPr>
      <w:r>
        <w:rPr>
          <w:rFonts w:hint="eastAsia"/>
        </w:rPr>
        <w:t>研究生对本专业教师授课水平的评价</w:t>
      </w:r>
    </w:p>
    <w:tbl>
      <w:tblPr>
        <w:tblStyle w:val="33"/>
        <w:tblW w:w="825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174"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4.75</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846" w:type="dxa"/>
            <w:vAlign w:val="center"/>
          </w:tcPr>
          <w:p>
            <w:pPr>
              <w:widowControl/>
              <w:jc w:val="center"/>
              <w:rPr>
                <w:color w:val="000000"/>
                <w:kern w:val="0"/>
                <w:szCs w:val="21"/>
              </w:rPr>
            </w:pPr>
            <w:r>
              <w:rPr>
                <w:color w:val="000000"/>
                <w:kern w:val="0"/>
                <w:szCs w:val="21"/>
              </w:rPr>
              <w:t>75.0</w:t>
            </w:r>
          </w:p>
        </w:tc>
        <w:tc>
          <w:tcPr>
            <w:tcW w:w="636" w:type="dxa"/>
            <w:vAlign w:val="center"/>
          </w:tcPr>
          <w:p>
            <w:pPr>
              <w:widowControl/>
              <w:jc w:val="center"/>
              <w:rPr>
                <w:color w:val="000000"/>
                <w:kern w:val="0"/>
                <w:szCs w:val="21"/>
              </w:rPr>
            </w:pPr>
            <w:r>
              <w:rPr>
                <w:color w:val="000000"/>
                <w:kern w:val="0"/>
                <w:szCs w:val="21"/>
              </w:rPr>
              <w:t>25.0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F=1.19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4.43</w:t>
            </w:r>
          </w:p>
        </w:tc>
        <w:tc>
          <w:tcPr>
            <w:tcW w:w="846" w:type="dxa"/>
            <w:shd w:val="clear" w:color="auto" w:fill="auto"/>
            <w:vAlign w:val="center"/>
          </w:tcPr>
          <w:p>
            <w:pPr>
              <w:widowControl/>
              <w:jc w:val="center"/>
              <w:rPr>
                <w:color w:val="000000"/>
                <w:kern w:val="0"/>
                <w:szCs w:val="21"/>
              </w:rPr>
            </w:pPr>
            <w:r>
              <w:rPr>
                <w:color w:val="000000"/>
                <w:kern w:val="0"/>
                <w:szCs w:val="21"/>
              </w:rPr>
              <w:t>0.81</w:t>
            </w:r>
          </w:p>
        </w:tc>
        <w:tc>
          <w:tcPr>
            <w:tcW w:w="846" w:type="dxa"/>
            <w:vAlign w:val="center"/>
          </w:tcPr>
          <w:p>
            <w:pPr>
              <w:widowControl/>
              <w:jc w:val="center"/>
              <w:rPr>
                <w:color w:val="000000"/>
                <w:kern w:val="0"/>
                <w:szCs w:val="21"/>
              </w:rPr>
            </w:pPr>
            <w:r>
              <w:rPr>
                <w:color w:val="000000"/>
                <w:kern w:val="0"/>
                <w:szCs w:val="21"/>
              </w:rPr>
              <w:t>57.1</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4.8</w:t>
            </w:r>
          </w:p>
        </w:tc>
        <w:tc>
          <w:tcPr>
            <w:tcW w:w="846" w:type="dxa"/>
            <w:vAlign w:val="center"/>
          </w:tcPr>
          <w:p>
            <w:pPr>
              <w:widowControl/>
              <w:jc w:val="center"/>
              <w:rPr>
                <w:color w:val="000000"/>
                <w:kern w:val="0"/>
                <w:szCs w:val="21"/>
              </w:rPr>
            </w:pPr>
            <w:r>
              <w:rPr>
                <w:color w:val="000000"/>
                <w:kern w:val="0"/>
                <w:szCs w:val="21"/>
              </w:rPr>
              <w:t>4.8</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4.40</w:t>
            </w:r>
          </w:p>
        </w:tc>
        <w:tc>
          <w:tcPr>
            <w:tcW w:w="846" w:type="dxa"/>
            <w:shd w:val="clear" w:color="auto" w:fill="auto"/>
            <w:vAlign w:val="center"/>
          </w:tcPr>
          <w:p>
            <w:pPr>
              <w:widowControl/>
              <w:jc w:val="center"/>
              <w:rPr>
                <w:color w:val="000000"/>
                <w:kern w:val="0"/>
                <w:szCs w:val="21"/>
              </w:rPr>
            </w:pPr>
            <w:r>
              <w:rPr>
                <w:color w:val="000000"/>
                <w:kern w:val="0"/>
                <w:szCs w:val="21"/>
              </w:rPr>
              <w:t>0.55</w:t>
            </w:r>
          </w:p>
        </w:tc>
        <w:tc>
          <w:tcPr>
            <w:tcW w:w="846" w:type="dxa"/>
            <w:vAlign w:val="center"/>
          </w:tcPr>
          <w:p>
            <w:pPr>
              <w:widowControl/>
              <w:jc w:val="center"/>
              <w:rPr>
                <w:color w:val="000000"/>
                <w:kern w:val="0"/>
                <w:szCs w:val="21"/>
              </w:rPr>
            </w:pPr>
            <w:r>
              <w:rPr>
                <w:color w:val="000000"/>
                <w:kern w:val="0"/>
                <w:szCs w:val="21"/>
              </w:rPr>
              <w:t>40.0</w:t>
            </w:r>
          </w:p>
        </w:tc>
        <w:tc>
          <w:tcPr>
            <w:tcW w:w="636"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4.55</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846" w:type="dxa"/>
            <w:vAlign w:val="center"/>
          </w:tcPr>
          <w:p>
            <w:pPr>
              <w:widowControl/>
              <w:jc w:val="center"/>
              <w:rPr>
                <w:color w:val="000000"/>
                <w:kern w:val="0"/>
                <w:szCs w:val="21"/>
              </w:rPr>
            </w:pPr>
            <w:r>
              <w:rPr>
                <w:color w:val="000000"/>
                <w:kern w:val="0"/>
                <w:szCs w:val="21"/>
              </w:rPr>
              <w:t>61.9</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2.4</w:t>
            </w:r>
          </w:p>
        </w:tc>
        <w:tc>
          <w:tcPr>
            <w:tcW w:w="846" w:type="dxa"/>
            <w:vAlign w:val="center"/>
          </w:tcPr>
          <w:p>
            <w:pPr>
              <w:widowControl/>
              <w:jc w:val="center"/>
              <w:rPr>
                <w:color w:val="000000"/>
                <w:kern w:val="0"/>
                <w:szCs w:val="21"/>
              </w:rPr>
            </w:pPr>
            <w:r>
              <w:rPr>
                <w:color w:val="000000"/>
                <w:kern w:val="0"/>
                <w:szCs w:val="21"/>
              </w:rPr>
              <w:t>2.4</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Pr>
        <w:pStyle w:val="37"/>
        <w:ind w:firstLine="480"/>
      </w:pPr>
    </w:p>
    <w:p>
      <w:pPr>
        <w:pStyle w:val="70"/>
      </w:pPr>
      <w:r>
        <w:rPr>
          <w:rFonts w:hint="eastAsia"/>
        </w:rPr>
        <w:t>（3）所学专业知识满足工作需要的情况</w:t>
      </w:r>
    </w:p>
    <w:p>
      <w:pPr>
        <w:pStyle w:val="75"/>
      </w:pPr>
      <w:bookmarkStart w:id="176" w:name="PO_341231"/>
      <w:bookmarkEnd w:id="176"/>
      <w:r>
        <w:rPr>
          <w:rFonts w:hint="eastAsia"/>
        </w:rPr>
        <w:t>①总体情况</w:t>
      </w:r>
    </w:p>
    <w:p>
      <w:pPr>
        <w:pStyle w:val="37"/>
        <w:ind w:firstLine="480"/>
      </w:pPr>
      <w:r>
        <w:rPr>
          <w:rFonts w:hint="eastAsia"/>
        </w:rPr>
        <w:t>对于所学专业知识满足工作需要的程度，85.7%的研究生表示“很多”或“多”，14.3%认为“不好说”。</w:t>
      </w:r>
    </w:p>
    <w:p>
      <w:pPr>
        <w:jc w:val="center"/>
      </w:pPr>
      <w:r>
        <w:rPr>
          <w:rFonts w:hint="eastAsia"/>
        </w:rPr>
        <w:drawing>
          <wp:inline distT="0" distB="0" distL="0" distR="0">
            <wp:extent cx="6076950" cy="3077210"/>
            <wp:effectExtent l="0" t="0" r="0" b="0"/>
            <wp:docPr id="16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59"/>
        <w:spacing w:before="156" w:after="312"/>
      </w:pPr>
      <w:r>
        <w:rPr>
          <w:rFonts w:hint="eastAsia"/>
        </w:rPr>
        <w:t>研究生所学专业知识满足工作需要的程度</w:t>
      </w:r>
    </w:p>
    <w:p>
      <w:pPr>
        <w:pStyle w:val="75"/>
      </w:pPr>
      <w:r>
        <w:rPr>
          <w:rFonts w:hint="eastAsia"/>
        </w:rPr>
        <w:t>②不同专业研究生对所学专业知识满足工作需要的程度</w:t>
      </w:r>
    </w:p>
    <w:p>
      <w:pPr>
        <w:pStyle w:val="37"/>
        <w:ind w:firstLine="480"/>
      </w:pPr>
      <w:r>
        <w:rPr>
          <w:rFonts w:hint="eastAsia"/>
        </w:rPr>
        <w:t>就专业而言，方差检验显示，不同专业的研究生对所学专业知识满足工作需要的程度不存在显著性差异（F=0.70，p&gt;0.05）。</w:t>
      </w:r>
    </w:p>
    <w:p>
      <w:pPr>
        <w:jc w:val="center"/>
      </w:pPr>
      <w:r>
        <w:rPr>
          <w:rFonts w:hint="eastAsia"/>
        </w:rPr>
        <w:drawing>
          <wp:inline distT="0" distB="0" distL="0" distR="0">
            <wp:extent cx="6181725" cy="3686175"/>
            <wp:effectExtent l="0" t="0" r="0" b="0"/>
            <wp:docPr id="1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59"/>
        <w:spacing w:before="156" w:after="312"/>
      </w:pPr>
      <w:r>
        <w:rPr>
          <w:rFonts w:hint="eastAsia"/>
        </w:rPr>
        <w:t>不同专业研究生所学专业知识满足工作需要的程度</w:t>
      </w:r>
    </w:p>
    <w:p>
      <w:pPr>
        <w:pStyle w:val="53"/>
        <w:spacing w:before="312" w:after="156"/>
      </w:pPr>
      <w:r>
        <w:rPr>
          <w:rFonts w:hint="eastAsia"/>
        </w:rPr>
        <w:t>研究生所学专业知识满足工作需要的程度</w:t>
      </w:r>
    </w:p>
    <w:tbl>
      <w:tblPr>
        <w:tblStyle w:val="33"/>
        <w:tblW w:w="715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636"/>
        <w:gridCol w:w="589"/>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071"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很多</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4.38</w:t>
            </w:r>
          </w:p>
        </w:tc>
        <w:tc>
          <w:tcPr>
            <w:tcW w:w="846" w:type="dxa"/>
            <w:shd w:val="clear" w:color="auto" w:fill="auto"/>
            <w:vAlign w:val="center"/>
          </w:tcPr>
          <w:p>
            <w:pPr>
              <w:widowControl/>
              <w:jc w:val="center"/>
              <w:rPr>
                <w:color w:val="000000"/>
                <w:kern w:val="0"/>
                <w:szCs w:val="21"/>
              </w:rPr>
            </w:pPr>
            <w:r>
              <w:rPr>
                <w:color w:val="000000"/>
                <w:kern w:val="0"/>
                <w:szCs w:val="21"/>
              </w:rPr>
              <w:t>0.62</w:t>
            </w:r>
          </w:p>
        </w:tc>
        <w:tc>
          <w:tcPr>
            <w:tcW w:w="636" w:type="dxa"/>
            <w:vAlign w:val="center"/>
          </w:tcPr>
          <w:p>
            <w:pPr>
              <w:widowControl/>
              <w:jc w:val="center"/>
              <w:rPr>
                <w:color w:val="000000"/>
                <w:kern w:val="0"/>
                <w:szCs w:val="21"/>
              </w:rPr>
            </w:pPr>
            <w:r>
              <w:rPr>
                <w:color w:val="000000"/>
                <w:kern w:val="0"/>
                <w:szCs w:val="21"/>
              </w:rPr>
              <w:t>43.8</w:t>
            </w:r>
          </w:p>
        </w:tc>
        <w:tc>
          <w:tcPr>
            <w:tcW w:w="589"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6.3</w:t>
            </w:r>
          </w:p>
        </w:tc>
        <w:tc>
          <w:tcPr>
            <w:tcW w:w="1056" w:type="dxa"/>
            <w:vMerge w:val="restart"/>
            <w:shd w:val="clear" w:color="auto" w:fill="auto"/>
            <w:vAlign w:val="center"/>
          </w:tcPr>
          <w:p>
            <w:pPr>
              <w:jc w:val="center"/>
              <w:rPr>
                <w:color w:val="000000"/>
                <w:kern w:val="0"/>
                <w:szCs w:val="21"/>
              </w:rPr>
            </w:pPr>
            <w:r>
              <w:rPr>
                <w:color w:val="000000"/>
                <w:kern w:val="0"/>
                <w:szCs w:val="21"/>
              </w:rPr>
              <w:t>F=0.70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4.43</w:t>
            </w:r>
          </w:p>
        </w:tc>
        <w:tc>
          <w:tcPr>
            <w:tcW w:w="846" w:type="dxa"/>
            <w:shd w:val="clear" w:color="auto" w:fill="auto"/>
            <w:vAlign w:val="center"/>
          </w:tcPr>
          <w:p>
            <w:pPr>
              <w:widowControl/>
              <w:jc w:val="center"/>
              <w:rPr>
                <w:color w:val="000000"/>
                <w:kern w:val="0"/>
                <w:szCs w:val="21"/>
              </w:rPr>
            </w:pPr>
            <w:r>
              <w:rPr>
                <w:color w:val="000000"/>
                <w:kern w:val="0"/>
                <w:szCs w:val="21"/>
              </w:rPr>
              <w:t>0.81</w:t>
            </w:r>
          </w:p>
        </w:tc>
        <w:tc>
          <w:tcPr>
            <w:tcW w:w="636" w:type="dxa"/>
            <w:vAlign w:val="center"/>
          </w:tcPr>
          <w:p>
            <w:pPr>
              <w:widowControl/>
              <w:jc w:val="center"/>
              <w:rPr>
                <w:color w:val="000000"/>
                <w:kern w:val="0"/>
                <w:szCs w:val="21"/>
              </w:rPr>
            </w:pPr>
            <w:r>
              <w:rPr>
                <w:color w:val="000000"/>
                <w:kern w:val="0"/>
                <w:szCs w:val="21"/>
              </w:rPr>
              <w:t>61.9</w:t>
            </w:r>
          </w:p>
        </w:tc>
        <w:tc>
          <w:tcPr>
            <w:tcW w:w="589" w:type="dxa"/>
            <w:vAlign w:val="center"/>
          </w:tcPr>
          <w:p>
            <w:pPr>
              <w:widowControl/>
              <w:jc w:val="center"/>
              <w:rPr>
                <w:color w:val="000000"/>
                <w:kern w:val="0"/>
                <w:szCs w:val="21"/>
              </w:rPr>
            </w:pPr>
            <w:r>
              <w:rPr>
                <w:color w:val="000000"/>
                <w:kern w:val="0"/>
                <w:szCs w:val="21"/>
              </w:rPr>
              <w:t>19.0</w:t>
            </w:r>
          </w:p>
        </w:tc>
        <w:tc>
          <w:tcPr>
            <w:tcW w:w="846" w:type="dxa"/>
            <w:vAlign w:val="center"/>
          </w:tcPr>
          <w:p>
            <w:pPr>
              <w:widowControl/>
              <w:jc w:val="center"/>
              <w:rPr>
                <w:color w:val="000000"/>
                <w:kern w:val="0"/>
                <w:szCs w:val="21"/>
              </w:rPr>
            </w:pPr>
            <w:r>
              <w:rPr>
                <w:color w:val="000000"/>
                <w:kern w:val="0"/>
                <w:szCs w:val="21"/>
              </w:rPr>
              <w:t>19.0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63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60.0</w:t>
            </w:r>
          </w:p>
        </w:tc>
        <w:tc>
          <w:tcPr>
            <w:tcW w:w="846" w:type="dxa"/>
            <w:vAlign w:val="center"/>
          </w:tcPr>
          <w:p>
            <w:pPr>
              <w:widowControl/>
              <w:jc w:val="center"/>
              <w:rPr>
                <w:color w:val="000000"/>
                <w:kern w:val="0"/>
                <w:szCs w:val="21"/>
              </w:rPr>
            </w:pPr>
            <w:r>
              <w:rPr>
                <w:color w:val="000000"/>
                <w:kern w:val="0"/>
                <w:szCs w:val="21"/>
              </w:rPr>
              <w:t>20.0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4.36</w:t>
            </w:r>
          </w:p>
        </w:tc>
        <w:tc>
          <w:tcPr>
            <w:tcW w:w="846" w:type="dxa"/>
            <w:shd w:val="clear" w:color="auto" w:fill="auto"/>
            <w:vAlign w:val="center"/>
          </w:tcPr>
          <w:p>
            <w:pPr>
              <w:widowControl/>
              <w:jc w:val="center"/>
              <w:rPr>
                <w:color w:val="000000"/>
                <w:kern w:val="0"/>
                <w:szCs w:val="21"/>
              </w:rPr>
            </w:pPr>
            <w:r>
              <w:rPr>
                <w:color w:val="000000"/>
                <w:kern w:val="0"/>
                <w:szCs w:val="21"/>
              </w:rPr>
              <w:t>0.73</w:t>
            </w:r>
          </w:p>
        </w:tc>
        <w:tc>
          <w:tcPr>
            <w:tcW w:w="636" w:type="dxa"/>
            <w:vAlign w:val="center"/>
          </w:tcPr>
          <w:p>
            <w:pPr>
              <w:widowControl/>
              <w:jc w:val="center"/>
              <w:rPr>
                <w:color w:val="000000"/>
                <w:kern w:val="0"/>
                <w:szCs w:val="21"/>
              </w:rPr>
            </w:pPr>
            <w:r>
              <w:rPr>
                <w:color w:val="000000"/>
                <w:kern w:val="0"/>
                <w:szCs w:val="21"/>
              </w:rPr>
              <w:t>50.0</w:t>
            </w:r>
          </w:p>
        </w:tc>
        <w:tc>
          <w:tcPr>
            <w:tcW w:w="589" w:type="dxa"/>
            <w:vAlign w:val="center"/>
          </w:tcPr>
          <w:p>
            <w:pPr>
              <w:widowControl/>
              <w:jc w:val="center"/>
              <w:rPr>
                <w:color w:val="000000"/>
                <w:kern w:val="0"/>
                <w:szCs w:val="21"/>
              </w:rPr>
            </w:pPr>
            <w:r>
              <w:rPr>
                <w:color w:val="000000"/>
                <w:kern w:val="0"/>
                <w:szCs w:val="21"/>
              </w:rPr>
              <w:t>35.7</w:t>
            </w:r>
          </w:p>
        </w:tc>
        <w:tc>
          <w:tcPr>
            <w:tcW w:w="846" w:type="dxa"/>
            <w:vAlign w:val="center"/>
          </w:tcPr>
          <w:p>
            <w:pPr>
              <w:widowControl/>
              <w:jc w:val="center"/>
              <w:rPr>
                <w:color w:val="000000"/>
                <w:kern w:val="0"/>
                <w:szCs w:val="21"/>
              </w:rPr>
            </w:pPr>
            <w:r>
              <w:rPr>
                <w:color w:val="000000"/>
                <w:kern w:val="0"/>
                <w:szCs w:val="21"/>
              </w:rPr>
              <w:t>14.3</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注：得分5=很多，4=多，3=不好说，2=少，1=很少</w:t>
      </w:r>
    </w:p>
    <w:p/>
    <w:p>
      <w:pPr>
        <w:pStyle w:val="70"/>
      </w:pPr>
      <w:r>
        <w:rPr>
          <w:rFonts w:hint="eastAsia"/>
        </w:rPr>
        <w:t>（4）所学专业技能满足工作需要的情况</w:t>
      </w:r>
    </w:p>
    <w:p>
      <w:pPr>
        <w:pStyle w:val="75"/>
      </w:pPr>
      <w:bookmarkStart w:id="177" w:name="PO_341232"/>
      <w:bookmarkEnd w:id="177"/>
      <w:r>
        <w:rPr>
          <w:rFonts w:hint="eastAsia"/>
        </w:rPr>
        <w:t>①总体情况</w:t>
      </w:r>
    </w:p>
    <w:p>
      <w:pPr>
        <w:pStyle w:val="37"/>
        <w:ind w:firstLine="480"/>
      </w:pPr>
      <w:r>
        <w:rPr>
          <w:rFonts w:hint="eastAsia"/>
        </w:rPr>
        <w:t>对于所学专业技能满足工作需要的程度，81.0%的研究生表示“很多”或“多”，19.0%认为“不好说”。</w:t>
      </w:r>
    </w:p>
    <w:p>
      <w:pPr>
        <w:jc w:val="center"/>
      </w:pPr>
      <w:r>
        <w:rPr>
          <w:rFonts w:hint="eastAsia"/>
        </w:rPr>
        <w:drawing>
          <wp:inline distT="0" distB="0" distL="0" distR="0">
            <wp:extent cx="6076950" cy="3077210"/>
            <wp:effectExtent l="19050" t="0" r="19050" b="8890"/>
            <wp:docPr id="1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59"/>
        <w:spacing w:before="156" w:after="312"/>
      </w:pPr>
      <w:r>
        <w:rPr>
          <w:rFonts w:hint="eastAsia"/>
        </w:rPr>
        <w:t>研究生所学专业技能满足工作需要的程度</w:t>
      </w:r>
    </w:p>
    <w:p>
      <w:pPr>
        <w:pStyle w:val="75"/>
      </w:pPr>
      <w:r>
        <w:rPr>
          <w:rFonts w:hint="eastAsia"/>
        </w:rPr>
        <w:t>②不同专业研究生对所学专业技能满足工作需要的程度</w:t>
      </w:r>
    </w:p>
    <w:p>
      <w:pPr>
        <w:pStyle w:val="37"/>
        <w:ind w:firstLine="480"/>
      </w:pPr>
      <w:r>
        <w:rPr>
          <w:rFonts w:hint="eastAsia"/>
        </w:rPr>
        <w:t>就专业而言，方差检验显示，不同专业的研究生对所学专业技能满足工作需要的程度不存在显著性差异（F=0.91，p&gt;0.05）。</w:t>
      </w:r>
    </w:p>
    <w:p>
      <w:pPr>
        <w:jc w:val="center"/>
      </w:pPr>
      <w:r>
        <w:rPr>
          <w:rFonts w:hint="eastAsia"/>
        </w:rPr>
        <w:drawing>
          <wp:inline distT="0" distB="0" distL="0" distR="0">
            <wp:extent cx="6124575" cy="3077210"/>
            <wp:effectExtent l="19050" t="0" r="9525" b="8890"/>
            <wp:docPr id="1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59"/>
        <w:spacing w:before="156" w:after="312"/>
      </w:pPr>
      <w:r>
        <w:rPr>
          <w:rFonts w:hint="eastAsia"/>
        </w:rPr>
        <w:t>不同专业研究生所学专业技能满足工作需要的程度</w:t>
      </w:r>
    </w:p>
    <w:p>
      <w:pPr>
        <w:pStyle w:val="53"/>
        <w:spacing w:before="312" w:after="156"/>
      </w:pPr>
      <w:r>
        <w:rPr>
          <w:rFonts w:hint="eastAsia"/>
        </w:rPr>
        <w:t>研究生所学专业技能满足工作需要的程度</w:t>
      </w:r>
    </w:p>
    <w:tbl>
      <w:tblPr>
        <w:tblStyle w:val="33"/>
        <w:tblW w:w="715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636"/>
        <w:gridCol w:w="589"/>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071"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很多</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4.31</w:t>
            </w:r>
          </w:p>
        </w:tc>
        <w:tc>
          <w:tcPr>
            <w:tcW w:w="846" w:type="dxa"/>
            <w:shd w:val="clear" w:color="auto" w:fill="auto"/>
            <w:vAlign w:val="center"/>
          </w:tcPr>
          <w:p>
            <w:pPr>
              <w:widowControl/>
              <w:jc w:val="center"/>
              <w:rPr>
                <w:color w:val="000000"/>
                <w:kern w:val="0"/>
                <w:szCs w:val="21"/>
              </w:rPr>
            </w:pPr>
            <w:r>
              <w:rPr>
                <w:color w:val="000000"/>
                <w:kern w:val="0"/>
                <w:szCs w:val="21"/>
              </w:rPr>
              <w:t>0.60</w:t>
            </w:r>
          </w:p>
        </w:tc>
        <w:tc>
          <w:tcPr>
            <w:tcW w:w="636" w:type="dxa"/>
            <w:vAlign w:val="center"/>
          </w:tcPr>
          <w:p>
            <w:pPr>
              <w:widowControl/>
              <w:jc w:val="center"/>
              <w:rPr>
                <w:color w:val="000000"/>
                <w:kern w:val="0"/>
                <w:szCs w:val="21"/>
              </w:rPr>
            </w:pPr>
            <w:r>
              <w:rPr>
                <w:color w:val="000000"/>
                <w:kern w:val="0"/>
                <w:szCs w:val="21"/>
              </w:rPr>
              <w:t>37.5</w:t>
            </w:r>
          </w:p>
        </w:tc>
        <w:tc>
          <w:tcPr>
            <w:tcW w:w="589" w:type="dxa"/>
            <w:vAlign w:val="center"/>
          </w:tcPr>
          <w:p>
            <w:pPr>
              <w:widowControl/>
              <w:jc w:val="center"/>
              <w:rPr>
                <w:color w:val="000000"/>
                <w:kern w:val="0"/>
                <w:szCs w:val="21"/>
              </w:rPr>
            </w:pPr>
            <w:r>
              <w:rPr>
                <w:color w:val="000000"/>
                <w:kern w:val="0"/>
                <w:szCs w:val="21"/>
              </w:rPr>
              <w:t>56.3</w:t>
            </w:r>
          </w:p>
        </w:tc>
        <w:tc>
          <w:tcPr>
            <w:tcW w:w="846" w:type="dxa"/>
            <w:vAlign w:val="center"/>
          </w:tcPr>
          <w:p>
            <w:pPr>
              <w:widowControl/>
              <w:jc w:val="center"/>
              <w:rPr>
                <w:color w:val="000000"/>
                <w:kern w:val="0"/>
                <w:szCs w:val="21"/>
              </w:rPr>
            </w:pPr>
            <w:r>
              <w:rPr>
                <w:color w:val="000000"/>
                <w:kern w:val="0"/>
                <w:szCs w:val="21"/>
              </w:rPr>
              <w:t>6.3</w:t>
            </w:r>
          </w:p>
        </w:tc>
        <w:tc>
          <w:tcPr>
            <w:tcW w:w="1056" w:type="dxa"/>
            <w:vMerge w:val="restart"/>
            <w:shd w:val="clear" w:color="auto" w:fill="auto"/>
            <w:vAlign w:val="center"/>
          </w:tcPr>
          <w:p>
            <w:pPr>
              <w:jc w:val="center"/>
              <w:rPr>
                <w:color w:val="000000"/>
                <w:kern w:val="0"/>
                <w:szCs w:val="21"/>
              </w:rPr>
            </w:pPr>
            <w:r>
              <w:rPr>
                <w:color w:val="000000"/>
                <w:kern w:val="0"/>
                <w:szCs w:val="21"/>
              </w:rPr>
              <w:t>F=0.91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4.19</w:t>
            </w:r>
          </w:p>
        </w:tc>
        <w:tc>
          <w:tcPr>
            <w:tcW w:w="846" w:type="dxa"/>
            <w:shd w:val="clear" w:color="auto" w:fill="auto"/>
            <w:vAlign w:val="center"/>
          </w:tcPr>
          <w:p>
            <w:pPr>
              <w:widowControl/>
              <w:jc w:val="center"/>
              <w:rPr>
                <w:color w:val="000000"/>
                <w:kern w:val="0"/>
                <w:szCs w:val="21"/>
              </w:rPr>
            </w:pPr>
            <w:r>
              <w:rPr>
                <w:color w:val="000000"/>
                <w:kern w:val="0"/>
                <w:szCs w:val="21"/>
              </w:rPr>
              <w:t>0.81</w:t>
            </w:r>
          </w:p>
        </w:tc>
        <w:tc>
          <w:tcPr>
            <w:tcW w:w="636" w:type="dxa"/>
            <w:vAlign w:val="center"/>
          </w:tcPr>
          <w:p>
            <w:pPr>
              <w:widowControl/>
              <w:jc w:val="center"/>
              <w:rPr>
                <w:color w:val="000000"/>
                <w:kern w:val="0"/>
                <w:szCs w:val="21"/>
              </w:rPr>
            </w:pPr>
            <w:r>
              <w:rPr>
                <w:color w:val="000000"/>
                <w:kern w:val="0"/>
                <w:szCs w:val="21"/>
              </w:rPr>
              <w:t>42.9</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23.8</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3.80</w:t>
            </w:r>
          </w:p>
        </w:tc>
        <w:tc>
          <w:tcPr>
            <w:tcW w:w="846" w:type="dxa"/>
            <w:shd w:val="clear" w:color="auto" w:fill="auto"/>
            <w:vAlign w:val="center"/>
          </w:tcPr>
          <w:p>
            <w:pPr>
              <w:widowControl/>
              <w:jc w:val="center"/>
              <w:rPr>
                <w:color w:val="000000"/>
                <w:kern w:val="0"/>
                <w:szCs w:val="21"/>
              </w:rPr>
            </w:pPr>
            <w:r>
              <w:rPr>
                <w:color w:val="000000"/>
                <w:kern w:val="0"/>
                <w:szCs w:val="21"/>
              </w:rPr>
              <w:t>0.84</w:t>
            </w:r>
          </w:p>
        </w:tc>
        <w:tc>
          <w:tcPr>
            <w:tcW w:w="636" w:type="dxa"/>
            <w:vAlign w:val="center"/>
          </w:tcPr>
          <w:p>
            <w:pPr>
              <w:widowControl/>
              <w:jc w:val="center"/>
              <w:rPr>
                <w:color w:val="000000"/>
                <w:kern w:val="0"/>
                <w:szCs w:val="21"/>
              </w:rPr>
            </w:pPr>
            <w:r>
              <w:rPr>
                <w:color w:val="000000"/>
                <w:kern w:val="0"/>
                <w:szCs w:val="21"/>
              </w:rPr>
              <w:t>20.0</w:t>
            </w:r>
          </w:p>
        </w:tc>
        <w:tc>
          <w:tcPr>
            <w:tcW w:w="589"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40.0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4.19</w:t>
            </w:r>
          </w:p>
        </w:tc>
        <w:tc>
          <w:tcPr>
            <w:tcW w:w="846" w:type="dxa"/>
            <w:shd w:val="clear" w:color="auto" w:fill="auto"/>
            <w:vAlign w:val="center"/>
          </w:tcPr>
          <w:p>
            <w:pPr>
              <w:widowControl/>
              <w:jc w:val="center"/>
              <w:rPr>
                <w:color w:val="000000"/>
                <w:kern w:val="0"/>
                <w:szCs w:val="21"/>
              </w:rPr>
            </w:pPr>
            <w:r>
              <w:rPr>
                <w:color w:val="000000"/>
                <w:kern w:val="0"/>
                <w:szCs w:val="21"/>
              </w:rPr>
              <w:t>0.74</w:t>
            </w:r>
          </w:p>
        </w:tc>
        <w:tc>
          <w:tcPr>
            <w:tcW w:w="636" w:type="dxa"/>
            <w:vAlign w:val="center"/>
          </w:tcPr>
          <w:p>
            <w:pPr>
              <w:widowControl/>
              <w:jc w:val="center"/>
              <w:rPr>
                <w:color w:val="000000"/>
                <w:kern w:val="0"/>
                <w:szCs w:val="21"/>
              </w:rPr>
            </w:pPr>
            <w:r>
              <w:rPr>
                <w:color w:val="000000"/>
                <w:kern w:val="0"/>
                <w:szCs w:val="21"/>
              </w:rPr>
              <w:t>38.1</w:t>
            </w:r>
          </w:p>
        </w:tc>
        <w:tc>
          <w:tcPr>
            <w:tcW w:w="589"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19.0</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注：得分5=很多，4=多，3=不好说，2=少，1=很少</w:t>
      </w:r>
    </w:p>
    <w:p>
      <w:pPr>
        <w:pStyle w:val="37"/>
        <w:ind w:firstLine="480"/>
      </w:pPr>
    </w:p>
    <w:p>
      <w:pPr>
        <w:pStyle w:val="70"/>
      </w:pPr>
      <w:r>
        <w:rPr>
          <w:rFonts w:hint="eastAsia"/>
        </w:rPr>
        <w:t>（5）对所学专业的社会需求程度的评价</w:t>
      </w:r>
    </w:p>
    <w:p>
      <w:pPr>
        <w:pStyle w:val="75"/>
      </w:pPr>
      <w:bookmarkStart w:id="178" w:name="PO_34124"/>
      <w:bookmarkEnd w:id="178"/>
      <w:r>
        <w:rPr>
          <w:rFonts w:hint="eastAsia"/>
        </w:rPr>
        <w:t>①总体情况</w:t>
      </w:r>
    </w:p>
    <w:p>
      <w:pPr>
        <w:pStyle w:val="37"/>
        <w:ind w:firstLine="480"/>
      </w:pPr>
      <w:r>
        <w:rPr>
          <w:rFonts w:hint="eastAsia"/>
        </w:rPr>
        <w:t>对于所学专业的社会需求程度评价，45.2%的研究生表示“很高”或“高”，40.5%认为“不好说”，14.3%则表示“低”或“很低”。</w:t>
      </w:r>
    </w:p>
    <w:p>
      <w:pPr>
        <w:jc w:val="center"/>
      </w:pPr>
      <w:r>
        <w:rPr>
          <w:rFonts w:hint="eastAsia"/>
        </w:rPr>
        <w:drawing>
          <wp:inline distT="0" distB="0" distL="0" distR="0">
            <wp:extent cx="6076950" cy="3077210"/>
            <wp:effectExtent l="19050" t="0" r="19050" b="8890"/>
            <wp:docPr id="1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59"/>
        <w:spacing w:before="156" w:after="312"/>
      </w:pPr>
      <w:r>
        <w:rPr>
          <w:rFonts w:hint="eastAsia"/>
        </w:rPr>
        <w:t>研究生对所学专业的社会需求程度的评价</w:t>
      </w:r>
    </w:p>
    <w:p>
      <w:pPr>
        <w:pStyle w:val="75"/>
      </w:pPr>
      <w:r>
        <w:rPr>
          <w:rFonts w:hint="eastAsia"/>
        </w:rPr>
        <w:t>②不同专业研究生对所学专业的社会需求程度的评价</w:t>
      </w:r>
    </w:p>
    <w:p>
      <w:pPr>
        <w:pStyle w:val="37"/>
        <w:ind w:firstLine="480"/>
      </w:pPr>
      <w:r>
        <w:rPr>
          <w:rFonts w:hint="eastAsia"/>
        </w:rPr>
        <w:t>就专业而言，方差检验显示，不同专业的研究生对所学专业的社会需求程度的评价不存在显著性差异（F=2.25，p&gt;0.05）。</w:t>
      </w:r>
    </w:p>
    <w:p>
      <w:pPr>
        <w:jc w:val="center"/>
      </w:pPr>
      <w:r>
        <w:rPr>
          <w:rFonts w:hint="eastAsia"/>
        </w:rPr>
        <w:drawing>
          <wp:inline distT="0" distB="0" distL="0" distR="0">
            <wp:extent cx="6124575" cy="3638550"/>
            <wp:effectExtent l="0" t="0" r="0" b="0"/>
            <wp:docPr id="17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59"/>
        <w:spacing w:before="156" w:after="312"/>
      </w:pPr>
      <w:r>
        <w:rPr>
          <w:rFonts w:hint="eastAsia"/>
        </w:rPr>
        <w:t>不同专业研究生对所学专业的社会需求程度的评价</w:t>
      </w:r>
    </w:p>
    <w:p>
      <w:pPr>
        <w:pStyle w:val="53"/>
        <w:spacing w:before="312" w:after="156"/>
      </w:pPr>
      <w:r>
        <w:rPr>
          <w:rFonts w:hint="eastAsia"/>
        </w:rPr>
        <w:t>研究生对所学专业的社会需求程度的评价</w:t>
      </w:r>
    </w:p>
    <w:tbl>
      <w:tblPr>
        <w:tblStyle w:val="33"/>
        <w:tblW w:w="837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636"/>
        <w:gridCol w:w="589"/>
        <w:gridCol w:w="846"/>
        <w:gridCol w:w="589"/>
        <w:gridCol w:w="63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296" w:type="dxa"/>
            <w:gridSpan w:val="5"/>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很高</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很低</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3.63</w:t>
            </w:r>
          </w:p>
        </w:tc>
        <w:tc>
          <w:tcPr>
            <w:tcW w:w="846" w:type="dxa"/>
            <w:shd w:val="clear" w:color="auto" w:fill="auto"/>
            <w:vAlign w:val="center"/>
          </w:tcPr>
          <w:p>
            <w:pPr>
              <w:widowControl/>
              <w:jc w:val="center"/>
              <w:rPr>
                <w:color w:val="000000"/>
                <w:kern w:val="0"/>
                <w:szCs w:val="21"/>
              </w:rPr>
            </w:pPr>
            <w:r>
              <w:rPr>
                <w:color w:val="000000"/>
                <w:kern w:val="0"/>
                <w:szCs w:val="21"/>
              </w:rPr>
              <w:t>1.09</w:t>
            </w:r>
          </w:p>
        </w:tc>
        <w:tc>
          <w:tcPr>
            <w:tcW w:w="636" w:type="dxa"/>
            <w:vAlign w:val="center"/>
          </w:tcPr>
          <w:p>
            <w:pPr>
              <w:widowControl/>
              <w:jc w:val="center"/>
              <w:rPr>
                <w:color w:val="000000"/>
                <w:kern w:val="0"/>
                <w:szCs w:val="21"/>
              </w:rPr>
            </w:pPr>
            <w:r>
              <w:rPr>
                <w:color w:val="000000"/>
                <w:kern w:val="0"/>
                <w:szCs w:val="21"/>
              </w:rPr>
              <w:t>31.3</w:t>
            </w:r>
          </w:p>
        </w:tc>
        <w:tc>
          <w:tcPr>
            <w:tcW w:w="589" w:type="dxa"/>
            <w:vAlign w:val="center"/>
          </w:tcPr>
          <w:p>
            <w:pPr>
              <w:widowControl/>
              <w:jc w:val="center"/>
              <w:rPr>
                <w:color w:val="000000"/>
                <w:kern w:val="0"/>
                <w:szCs w:val="21"/>
              </w:rPr>
            </w:pPr>
            <w:r>
              <w:rPr>
                <w:color w:val="000000"/>
                <w:kern w:val="0"/>
                <w:szCs w:val="21"/>
              </w:rPr>
              <w:t>12.5</w:t>
            </w:r>
          </w:p>
        </w:tc>
        <w:tc>
          <w:tcPr>
            <w:tcW w:w="846" w:type="dxa"/>
            <w:vAlign w:val="center"/>
          </w:tcPr>
          <w:p>
            <w:pPr>
              <w:widowControl/>
              <w:jc w:val="center"/>
              <w:rPr>
                <w:color w:val="000000"/>
                <w:kern w:val="0"/>
                <w:szCs w:val="21"/>
              </w:rPr>
            </w:pPr>
            <w:r>
              <w:rPr>
                <w:color w:val="000000"/>
                <w:kern w:val="0"/>
                <w:szCs w:val="21"/>
              </w:rPr>
              <w:t>43.8</w:t>
            </w:r>
          </w:p>
        </w:tc>
        <w:tc>
          <w:tcPr>
            <w:tcW w:w="589" w:type="dxa"/>
            <w:vAlign w:val="center"/>
          </w:tcPr>
          <w:p>
            <w:pPr>
              <w:widowControl/>
              <w:jc w:val="center"/>
              <w:rPr>
                <w:color w:val="000000"/>
                <w:kern w:val="0"/>
                <w:szCs w:val="21"/>
              </w:rPr>
            </w:pPr>
            <w:r>
              <w:rPr>
                <w:color w:val="000000"/>
                <w:kern w:val="0"/>
                <w:szCs w:val="21"/>
              </w:rPr>
              <w:t>12.5</w:t>
            </w:r>
          </w:p>
        </w:tc>
        <w:tc>
          <w:tcPr>
            <w:tcW w:w="63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F=2.25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3.62</w:t>
            </w:r>
          </w:p>
        </w:tc>
        <w:tc>
          <w:tcPr>
            <w:tcW w:w="846" w:type="dxa"/>
            <w:shd w:val="clear" w:color="auto" w:fill="auto"/>
            <w:vAlign w:val="center"/>
          </w:tcPr>
          <w:p>
            <w:pPr>
              <w:widowControl/>
              <w:jc w:val="center"/>
              <w:rPr>
                <w:color w:val="000000"/>
                <w:kern w:val="0"/>
                <w:szCs w:val="21"/>
              </w:rPr>
            </w:pPr>
            <w:r>
              <w:rPr>
                <w:color w:val="000000"/>
                <w:kern w:val="0"/>
                <w:szCs w:val="21"/>
              </w:rPr>
              <w:t>0.92</w:t>
            </w:r>
          </w:p>
        </w:tc>
        <w:tc>
          <w:tcPr>
            <w:tcW w:w="636" w:type="dxa"/>
            <w:vAlign w:val="center"/>
          </w:tcPr>
          <w:p>
            <w:pPr>
              <w:widowControl/>
              <w:jc w:val="center"/>
              <w:rPr>
                <w:color w:val="000000"/>
                <w:kern w:val="0"/>
                <w:szCs w:val="21"/>
              </w:rPr>
            </w:pPr>
            <w:r>
              <w:rPr>
                <w:color w:val="000000"/>
                <w:kern w:val="0"/>
                <w:szCs w:val="21"/>
              </w:rPr>
              <w:t>19.0</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38.1</w:t>
            </w:r>
          </w:p>
        </w:tc>
        <w:tc>
          <w:tcPr>
            <w:tcW w:w="589" w:type="dxa"/>
            <w:vAlign w:val="center"/>
          </w:tcPr>
          <w:p>
            <w:pPr>
              <w:widowControl/>
              <w:jc w:val="center"/>
              <w:rPr>
                <w:color w:val="000000"/>
                <w:kern w:val="0"/>
                <w:szCs w:val="21"/>
              </w:rPr>
            </w:pPr>
            <w:r>
              <w:rPr>
                <w:color w:val="000000"/>
                <w:kern w:val="0"/>
                <w:szCs w:val="21"/>
              </w:rPr>
              <w:t>9.5</w:t>
            </w:r>
          </w:p>
        </w:tc>
        <w:tc>
          <w:tcPr>
            <w:tcW w:w="63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2.60</w:t>
            </w:r>
          </w:p>
        </w:tc>
        <w:tc>
          <w:tcPr>
            <w:tcW w:w="846" w:type="dxa"/>
            <w:shd w:val="clear" w:color="auto" w:fill="auto"/>
            <w:vAlign w:val="center"/>
          </w:tcPr>
          <w:p>
            <w:pPr>
              <w:widowControl/>
              <w:jc w:val="center"/>
              <w:rPr>
                <w:color w:val="000000"/>
                <w:kern w:val="0"/>
                <w:szCs w:val="21"/>
              </w:rPr>
            </w:pPr>
            <w:r>
              <w:rPr>
                <w:color w:val="000000"/>
                <w:kern w:val="0"/>
                <w:szCs w:val="21"/>
              </w:rPr>
              <w:t>1.14</w:t>
            </w:r>
          </w:p>
        </w:tc>
        <w:tc>
          <w:tcPr>
            <w:tcW w:w="636" w:type="dxa"/>
            <w:vAlign w:val="center"/>
          </w:tcPr>
          <w:p>
            <w:pPr>
              <w:widowControl/>
              <w:jc w:val="center"/>
              <w:rPr>
                <w:color w:val="000000"/>
                <w:kern w:val="0"/>
                <w:szCs w:val="21"/>
              </w:rPr>
            </w:pPr>
            <w:r>
              <w:rPr>
                <w:color w:val="000000"/>
                <w:kern w:val="0"/>
                <w:szCs w:val="21"/>
              </w:rPr>
              <w:t>0.0</w:t>
            </w:r>
          </w:p>
        </w:tc>
        <w:tc>
          <w:tcPr>
            <w:tcW w:w="589"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40.0</w:t>
            </w:r>
          </w:p>
        </w:tc>
        <w:tc>
          <w:tcPr>
            <w:tcW w:w="589" w:type="dxa"/>
            <w:vAlign w:val="center"/>
          </w:tcPr>
          <w:p>
            <w:pPr>
              <w:widowControl/>
              <w:jc w:val="center"/>
              <w:rPr>
                <w:color w:val="000000"/>
                <w:kern w:val="0"/>
                <w:szCs w:val="21"/>
              </w:rPr>
            </w:pPr>
            <w:r>
              <w:rPr>
                <w:color w:val="000000"/>
                <w:kern w:val="0"/>
                <w:szCs w:val="21"/>
              </w:rPr>
              <w:t>20.0</w:t>
            </w:r>
          </w:p>
        </w:tc>
        <w:tc>
          <w:tcPr>
            <w:tcW w:w="636" w:type="dxa"/>
            <w:vAlign w:val="center"/>
          </w:tcPr>
          <w:p>
            <w:pPr>
              <w:widowControl/>
              <w:jc w:val="center"/>
              <w:rPr>
                <w:color w:val="000000"/>
                <w:kern w:val="0"/>
                <w:szCs w:val="21"/>
              </w:rPr>
            </w:pPr>
            <w:r>
              <w:rPr>
                <w:color w:val="000000"/>
                <w:kern w:val="0"/>
                <w:szCs w:val="21"/>
              </w:rPr>
              <w:t>20.0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3.50</w:t>
            </w:r>
          </w:p>
        </w:tc>
        <w:tc>
          <w:tcPr>
            <w:tcW w:w="846" w:type="dxa"/>
            <w:shd w:val="clear" w:color="auto" w:fill="auto"/>
            <w:vAlign w:val="center"/>
          </w:tcPr>
          <w:p>
            <w:pPr>
              <w:widowControl/>
              <w:jc w:val="center"/>
              <w:rPr>
                <w:color w:val="000000"/>
                <w:kern w:val="0"/>
                <w:szCs w:val="21"/>
              </w:rPr>
            </w:pPr>
            <w:r>
              <w:rPr>
                <w:color w:val="000000"/>
                <w:kern w:val="0"/>
                <w:szCs w:val="21"/>
              </w:rPr>
              <w:t>1.04</w:t>
            </w:r>
          </w:p>
        </w:tc>
        <w:tc>
          <w:tcPr>
            <w:tcW w:w="636" w:type="dxa"/>
            <w:vAlign w:val="center"/>
          </w:tcPr>
          <w:p>
            <w:pPr>
              <w:widowControl/>
              <w:jc w:val="center"/>
              <w:rPr>
                <w:color w:val="000000"/>
                <w:kern w:val="0"/>
                <w:szCs w:val="21"/>
              </w:rPr>
            </w:pPr>
            <w:r>
              <w:rPr>
                <w:color w:val="000000"/>
                <w:kern w:val="0"/>
                <w:szCs w:val="21"/>
              </w:rPr>
              <w:t>21.4</w:t>
            </w:r>
          </w:p>
        </w:tc>
        <w:tc>
          <w:tcPr>
            <w:tcW w:w="589" w:type="dxa"/>
            <w:vAlign w:val="center"/>
          </w:tcPr>
          <w:p>
            <w:pPr>
              <w:widowControl/>
              <w:jc w:val="center"/>
              <w:rPr>
                <w:color w:val="000000"/>
                <w:kern w:val="0"/>
                <w:szCs w:val="21"/>
              </w:rPr>
            </w:pPr>
            <w:r>
              <w:rPr>
                <w:color w:val="000000"/>
                <w:kern w:val="0"/>
                <w:szCs w:val="21"/>
              </w:rPr>
              <w:t>23.8</w:t>
            </w:r>
          </w:p>
        </w:tc>
        <w:tc>
          <w:tcPr>
            <w:tcW w:w="846" w:type="dxa"/>
            <w:vAlign w:val="center"/>
          </w:tcPr>
          <w:p>
            <w:pPr>
              <w:widowControl/>
              <w:jc w:val="center"/>
              <w:rPr>
                <w:color w:val="000000"/>
                <w:kern w:val="0"/>
                <w:szCs w:val="21"/>
              </w:rPr>
            </w:pPr>
            <w:r>
              <w:rPr>
                <w:color w:val="000000"/>
                <w:kern w:val="0"/>
                <w:szCs w:val="21"/>
              </w:rPr>
              <w:t>40.5</w:t>
            </w:r>
          </w:p>
        </w:tc>
        <w:tc>
          <w:tcPr>
            <w:tcW w:w="589" w:type="dxa"/>
            <w:vAlign w:val="center"/>
          </w:tcPr>
          <w:p>
            <w:pPr>
              <w:widowControl/>
              <w:jc w:val="center"/>
              <w:rPr>
                <w:color w:val="000000"/>
                <w:kern w:val="0"/>
                <w:szCs w:val="21"/>
              </w:rPr>
            </w:pPr>
            <w:r>
              <w:rPr>
                <w:color w:val="000000"/>
                <w:kern w:val="0"/>
                <w:szCs w:val="21"/>
              </w:rPr>
              <w:t>11.9</w:t>
            </w:r>
          </w:p>
        </w:tc>
        <w:tc>
          <w:tcPr>
            <w:tcW w:w="636" w:type="dxa"/>
            <w:vAlign w:val="center"/>
          </w:tcPr>
          <w:p>
            <w:pPr>
              <w:widowControl/>
              <w:jc w:val="center"/>
              <w:rPr>
                <w:color w:val="000000"/>
                <w:kern w:val="0"/>
                <w:szCs w:val="21"/>
              </w:rPr>
            </w:pPr>
            <w:r>
              <w:rPr>
                <w:color w:val="000000"/>
                <w:kern w:val="0"/>
                <w:szCs w:val="21"/>
              </w:rPr>
              <w:t>2.4</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注：得分5=很高，4=高，3=不好说，2=低，1=很低</w:t>
      </w:r>
    </w:p>
    <w:p>
      <w:pPr>
        <w:pStyle w:val="67"/>
      </w:pPr>
      <w:bookmarkStart w:id="179" w:name="_Toc470167414"/>
      <w:r>
        <w:rPr>
          <w:rFonts w:hint="eastAsia"/>
        </w:rPr>
        <w:t>3、研究生培养质量评价</w:t>
      </w:r>
      <w:bookmarkEnd w:id="179"/>
    </w:p>
    <w:p>
      <w:pPr>
        <w:pStyle w:val="70"/>
      </w:pPr>
      <w:r>
        <w:rPr>
          <w:rFonts w:hint="eastAsia"/>
        </w:rPr>
        <w:t>（1）研究生培养质量评价</w:t>
      </w:r>
    </w:p>
    <w:p>
      <w:pPr>
        <w:pStyle w:val="75"/>
      </w:pPr>
      <w:bookmarkStart w:id="180" w:name="PO_34131"/>
      <w:bookmarkEnd w:id="180"/>
      <w:r>
        <w:rPr>
          <w:rFonts w:hint="eastAsia"/>
        </w:rPr>
        <w:t>①总体情况</w:t>
      </w:r>
    </w:p>
    <w:p>
      <w:pPr>
        <w:pStyle w:val="37"/>
        <w:ind w:firstLine="480"/>
      </w:pPr>
      <w:r>
        <w:rPr>
          <w:rFonts w:hint="eastAsia"/>
        </w:rPr>
        <w:t>本校研究生培养质量的总体满意度情况，88.1%的研究生表示“很满意”或“满意”，4.8%认为“不好说”，7.1%则表示“不满意”。</w:t>
      </w:r>
    </w:p>
    <w:p>
      <w:pPr>
        <w:jc w:val="center"/>
      </w:pPr>
      <w:r>
        <w:rPr>
          <w:rFonts w:hint="eastAsia"/>
        </w:rPr>
        <w:drawing>
          <wp:inline distT="0" distB="0" distL="0" distR="0">
            <wp:extent cx="6076950" cy="3077210"/>
            <wp:effectExtent l="19050" t="0" r="19050" b="8890"/>
            <wp:docPr id="1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59"/>
        <w:spacing w:before="156" w:after="312"/>
      </w:pPr>
      <w:r>
        <w:rPr>
          <w:rFonts w:hint="eastAsia"/>
        </w:rPr>
        <w:t>研究生培养质量评价</w:t>
      </w:r>
    </w:p>
    <w:p>
      <w:pPr>
        <w:pStyle w:val="75"/>
      </w:pPr>
      <w:r>
        <w:rPr>
          <w:rFonts w:hint="eastAsia"/>
        </w:rPr>
        <w:t>②不同专业研究生研究生培养质量评价</w:t>
      </w:r>
    </w:p>
    <w:p>
      <w:pPr>
        <w:pStyle w:val="37"/>
        <w:ind w:firstLine="480"/>
      </w:pPr>
      <w:r>
        <w:rPr>
          <w:rFonts w:hint="eastAsia"/>
        </w:rPr>
        <w:t>就专业而言，方差检验显示，不同专业的研究生对本校研究生培养质量的总体满意度不存在显著性差异（F=0.30，p&gt;0.05）。</w:t>
      </w:r>
    </w:p>
    <w:p>
      <w:pPr>
        <w:jc w:val="center"/>
      </w:pPr>
      <w:r>
        <w:rPr>
          <w:rFonts w:hint="eastAsia"/>
        </w:rPr>
        <w:drawing>
          <wp:inline distT="0" distB="0" distL="0" distR="0">
            <wp:extent cx="6124575" cy="3077210"/>
            <wp:effectExtent l="19050" t="0" r="9525" b="8890"/>
            <wp:docPr id="1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59"/>
        <w:spacing w:before="156" w:after="312"/>
      </w:pPr>
      <w:r>
        <w:rPr>
          <w:rFonts w:hint="eastAsia"/>
        </w:rPr>
        <w:t>不同专业研究生培养质量评价</w:t>
      </w:r>
    </w:p>
    <w:p>
      <w:pPr>
        <w:pStyle w:val="53"/>
        <w:spacing w:before="312" w:after="156"/>
      </w:pPr>
      <w:r>
        <w:rPr>
          <w:rFonts w:hint="eastAsia"/>
        </w:rPr>
        <w:t>研究生培养质量评价</w:t>
      </w:r>
    </w:p>
    <w:tbl>
      <w:tblPr>
        <w:tblStyle w:val="33"/>
        <w:tblW w:w="825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174"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不满意</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4.31</w:t>
            </w:r>
          </w:p>
        </w:tc>
        <w:tc>
          <w:tcPr>
            <w:tcW w:w="846" w:type="dxa"/>
            <w:shd w:val="clear" w:color="auto" w:fill="auto"/>
            <w:vAlign w:val="center"/>
          </w:tcPr>
          <w:p>
            <w:pPr>
              <w:widowControl/>
              <w:jc w:val="center"/>
              <w:rPr>
                <w:color w:val="000000"/>
                <w:kern w:val="0"/>
                <w:szCs w:val="21"/>
              </w:rPr>
            </w:pPr>
            <w:r>
              <w:rPr>
                <w:color w:val="000000"/>
                <w:kern w:val="0"/>
                <w:szCs w:val="21"/>
              </w:rPr>
              <w:t>0.79</w:t>
            </w:r>
          </w:p>
        </w:tc>
        <w:tc>
          <w:tcPr>
            <w:tcW w:w="846" w:type="dxa"/>
            <w:vAlign w:val="center"/>
          </w:tcPr>
          <w:p>
            <w:pPr>
              <w:widowControl/>
              <w:jc w:val="center"/>
              <w:rPr>
                <w:color w:val="000000"/>
                <w:kern w:val="0"/>
                <w:szCs w:val="21"/>
              </w:rPr>
            </w:pPr>
            <w:r>
              <w:rPr>
                <w:color w:val="000000"/>
                <w:kern w:val="0"/>
                <w:szCs w:val="21"/>
              </w:rPr>
              <w:t>43.8</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6.3</w:t>
            </w:r>
          </w:p>
        </w:tc>
        <w:tc>
          <w:tcPr>
            <w:tcW w:w="1056" w:type="dxa"/>
            <w:vMerge w:val="restart"/>
            <w:shd w:val="clear" w:color="auto" w:fill="auto"/>
            <w:vAlign w:val="center"/>
          </w:tcPr>
          <w:p>
            <w:pPr>
              <w:jc w:val="center"/>
              <w:rPr>
                <w:color w:val="000000"/>
                <w:kern w:val="0"/>
                <w:szCs w:val="21"/>
              </w:rPr>
            </w:pPr>
            <w:r>
              <w:rPr>
                <w:color w:val="000000"/>
                <w:kern w:val="0"/>
                <w:szCs w:val="21"/>
              </w:rPr>
              <w:t>F=0.30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4.33</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846" w:type="dxa"/>
            <w:vAlign w:val="center"/>
          </w:tcPr>
          <w:p>
            <w:pPr>
              <w:widowControl/>
              <w:jc w:val="center"/>
              <w:rPr>
                <w:color w:val="000000"/>
                <w:kern w:val="0"/>
                <w:szCs w:val="21"/>
              </w:rPr>
            </w:pPr>
            <w:r>
              <w:rPr>
                <w:color w:val="000000"/>
                <w:kern w:val="0"/>
                <w:szCs w:val="21"/>
              </w:rPr>
              <w:t>52.4</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9.5</w:t>
            </w:r>
          </w:p>
        </w:tc>
        <w:tc>
          <w:tcPr>
            <w:tcW w:w="846" w:type="dxa"/>
            <w:vAlign w:val="center"/>
          </w:tcPr>
          <w:p>
            <w:pPr>
              <w:widowControl/>
              <w:jc w:val="center"/>
              <w:rPr>
                <w:color w:val="000000"/>
                <w:kern w:val="0"/>
                <w:szCs w:val="21"/>
              </w:rPr>
            </w:pPr>
            <w:r>
              <w:rPr>
                <w:color w:val="000000"/>
                <w:kern w:val="0"/>
                <w:szCs w:val="21"/>
              </w:rPr>
              <w:t>4.8</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1.22</w:t>
            </w:r>
          </w:p>
        </w:tc>
        <w:tc>
          <w:tcPr>
            <w:tcW w:w="846" w:type="dxa"/>
            <w:vAlign w:val="center"/>
          </w:tcPr>
          <w:p>
            <w:pPr>
              <w:widowControl/>
              <w:jc w:val="center"/>
              <w:rPr>
                <w:color w:val="000000"/>
                <w:kern w:val="0"/>
                <w:szCs w:val="21"/>
              </w:rPr>
            </w:pPr>
            <w:r>
              <w:rPr>
                <w:color w:val="000000"/>
                <w:kern w:val="0"/>
                <w:szCs w:val="21"/>
              </w:rPr>
              <w:t>40.0</w:t>
            </w:r>
          </w:p>
        </w:tc>
        <w:tc>
          <w:tcPr>
            <w:tcW w:w="636"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20.0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4.29</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846" w:type="dxa"/>
            <w:vAlign w:val="center"/>
          </w:tcPr>
          <w:p>
            <w:pPr>
              <w:widowControl/>
              <w:jc w:val="center"/>
              <w:rPr>
                <w:color w:val="000000"/>
                <w:kern w:val="0"/>
                <w:szCs w:val="21"/>
              </w:rPr>
            </w:pPr>
            <w:r>
              <w:rPr>
                <w:color w:val="000000"/>
                <w:kern w:val="0"/>
                <w:szCs w:val="21"/>
              </w:rPr>
              <w:t>47.6</w:t>
            </w:r>
          </w:p>
        </w:tc>
        <w:tc>
          <w:tcPr>
            <w:tcW w:w="636" w:type="dxa"/>
            <w:vAlign w:val="center"/>
          </w:tcPr>
          <w:p>
            <w:pPr>
              <w:widowControl/>
              <w:jc w:val="center"/>
              <w:rPr>
                <w:color w:val="000000"/>
                <w:kern w:val="0"/>
                <w:szCs w:val="21"/>
              </w:rPr>
            </w:pPr>
            <w:r>
              <w:rPr>
                <w:color w:val="000000"/>
                <w:kern w:val="0"/>
                <w:szCs w:val="21"/>
              </w:rPr>
              <w:t>40.5</w:t>
            </w:r>
          </w:p>
        </w:tc>
        <w:tc>
          <w:tcPr>
            <w:tcW w:w="846" w:type="dxa"/>
            <w:vAlign w:val="center"/>
          </w:tcPr>
          <w:p>
            <w:pPr>
              <w:widowControl/>
              <w:jc w:val="center"/>
              <w:rPr>
                <w:color w:val="000000"/>
                <w:kern w:val="0"/>
                <w:szCs w:val="21"/>
              </w:rPr>
            </w:pPr>
            <w:r>
              <w:rPr>
                <w:color w:val="000000"/>
                <w:kern w:val="0"/>
                <w:szCs w:val="21"/>
              </w:rPr>
              <w:t>4.8</w:t>
            </w:r>
          </w:p>
        </w:tc>
        <w:tc>
          <w:tcPr>
            <w:tcW w:w="846" w:type="dxa"/>
            <w:vAlign w:val="center"/>
          </w:tcPr>
          <w:p>
            <w:pPr>
              <w:widowControl/>
              <w:jc w:val="center"/>
              <w:rPr>
                <w:color w:val="000000"/>
                <w:kern w:val="0"/>
                <w:szCs w:val="21"/>
              </w:rPr>
            </w:pPr>
            <w:r>
              <w:rPr>
                <w:color w:val="000000"/>
                <w:kern w:val="0"/>
                <w:szCs w:val="21"/>
              </w:rPr>
              <w:t>7.1</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
      <w:pPr>
        <w:pStyle w:val="70"/>
      </w:pPr>
      <w:r>
        <w:rPr>
          <w:rFonts w:hint="eastAsia"/>
        </w:rPr>
        <w:t>（2）对导师的满意度</w:t>
      </w:r>
    </w:p>
    <w:p>
      <w:pPr>
        <w:pStyle w:val="75"/>
      </w:pPr>
      <w:bookmarkStart w:id="181" w:name="PO_34132"/>
      <w:bookmarkEnd w:id="181"/>
      <w:r>
        <w:rPr>
          <w:rFonts w:hint="eastAsia"/>
        </w:rPr>
        <w:t>①总体情况</w:t>
      </w:r>
    </w:p>
    <w:p>
      <w:pPr>
        <w:pStyle w:val="37"/>
        <w:ind w:firstLine="480"/>
      </w:pPr>
      <w:r>
        <w:rPr>
          <w:rFonts w:hint="eastAsia"/>
        </w:rPr>
        <w:t>研究生对自己导师的总体满意度评价，97.6%的研究生表示“很满意”或“满意”，2.4%认为“不好说”。</w:t>
      </w:r>
    </w:p>
    <w:p>
      <w:pPr>
        <w:jc w:val="center"/>
      </w:pPr>
      <w:r>
        <w:rPr>
          <w:rFonts w:hint="eastAsia"/>
        </w:rPr>
        <w:drawing>
          <wp:inline distT="0" distB="0" distL="0" distR="0">
            <wp:extent cx="6076950" cy="3077210"/>
            <wp:effectExtent l="19050" t="0" r="19050" b="8890"/>
            <wp:docPr id="1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59"/>
        <w:spacing w:before="156" w:after="312"/>
      </w:pPr>
      <w:r>
        <w:rPr>
          <w:rFonts w:hint="eastAsia"/>
        </w:rPr>
        <w:t>研究生对导师的满意度</w:t>
      </w:r>
    </w:p>
    <w:p>
      <w:pPr>
        <w:pStyle w:val="75"/>
      </w:pPr>
      <w:r>
        <w:rPr>
          <w:rFonts w:hint="eastAsia"/>
        </w:rPr>
        <w:t>②不同专业研究生对导师的满意度</w:t>
      </w:r>
    </w:p>
    <w:p>
      <w:pPr>
        <w:pStyle w:val="37"/>
        <w:ind w:firstLine="480"/>
      </w:pPr>
      <w:r>
        <w:rPr>
          <w:rFonts w:hint="eastAsia"/>
        </w:rPr>
        <w:t>就专业而言，方差检验显示，不同专业的研究生对自己导师的总体满意度不存在显著性差异（F=0.69，p&gt;0.05）。</w:t>
      </w:r>
    </w:p>
    <w:p>
      <w:pPr>
        <w:jc w:val="center"/>
      </w:pPr>
      <w:r>
        <w:rPr>
          <w:rFonts w:hint="eastAsia"/>
        </w:rPr>
        <w:drawing>
          <wp:inline distT="0" distB="0" distL="0" distR="0">
            <wp:extent cx="6124575" cy="3752850"/>
            <wp:effectExtent l="0" t="0" r="0" b="0"/>
            <wp:docPr id="1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59"/>
        <w:spacing w:before="156" w:after="312"/>
      </w:pPr>
      <w:r>
        <w:rPr>
          <w:rFonts w:hint="eastAsia"/>
        </w:rPr>
        <w:t>不同专业研究生对导师的满意度</w:t>
      </w:r>
    </w:p>
    <w:p>
      <w:pPr>
        <w:pStyle w:val="53"/>
        <w:spacing w:before="312" w:after="156"/>
      </w:pPr>
      <w:r>
        <w:rPr>
          <w:rFonts w:hint="eastAsia"/>
        </w:rPr>
        <w:t>研究生对导师的满意度</w:t>
      </w:r>
    </w:p>
    <w:tbl>
      <w:tblPr>
        <w:tblStyle w:val="33"/>
        <w:tblW w:w="740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32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16</w:t>
            </w:r>
          </w:p>
        </w:tc>
        <w:tc>
          <w:tcPr>
            <w:tcW w:w="636" w:type="dxa"/>
            <w:shd w:val="clear" w:color="auto" w:fill="auto"/>
            <w:vAlign w:val="center"/>
          </w:tcPr>
          <w:p>
            <w:pPr>
              <w:widowControl/>
              <w:jc w:val="center"/>
              <w:rPr>
                <w:color w:val="000000"/>
                <w:kern w:val="0"/>
                <w:szCs w:val="21"/>
              </w:rPr>
            </w:pPr>
            <w:r>
              <w:rPr>
                <w:color w:val="000000"/>
                <w:kern w:val="0"/>
                <w:szCs w:val="21"/>
              </w:rPr>
              <w:t>4.88</w:t>
            </w:r>
          </w:p>
        </w:tc>
        <w:tc>
          <w:tcPr>
            <w:tcW w:w="846" w:type="dxa"/>
            <w:shd w:val="clear" w:color="auto" w:fill="auto"/>
            <w:vAlign w:val="center"/>
          </w:tcPr>
          <w:p>
            <w:pPr>
              <w:widowControl/>
              <w:jc w:val="center"/>
              <w:rPr>
                <w:color w:val="000000"/>
                <w:kern w:val="0"/>
                <w:szCs w:val="21"/>
              </w:rPr>
            </w:pPr>
            <w:r>
              <w:rPr>
                <w:color w:val="000000"/>
                <w:kern w:val="0"/>
                <w:szCs w:val="21"/>
              </w:rPr>
              <w:t>0.34</w:t>
            </w:r>
          </w:p>
        </w:tc>
        <w:tc>
          <w:tcPr>
            <w:tcW w:w="846" w:type="dxa"/>
            <w:vAlign w:val="center"/>
          </w:tcPr>
          <w:p>
            <w:pPr>
              <w:widowControl/>
              <w:jc w:val="center"/>
              <w:rPr>
                <w:color w:val="000000"/>
                <w:kern w:val="0"/>
                <w:szCs w:val="21"/>
              </w:rPr>
            </w:pPr>
            <w:r>
              <w:rPr>
                <w:color w:val="000000"/>
                <w:kern w:val="0"/>
                <w:szCs w:val="21"/>
              </w:rPr>
              <w:t>87.5</w:t>
            </w:r>
          </w:p>
        </w:tc>
        <w:tc>
          <w:tcPr>
            <w:tcW w:w="636" w:type="dxa"/>
            <w:vAlign w:val="center"/>
          </w:tcPr>
          <w:p>
            <w:pPr>
              <w:widowControl/>
              <w:jc w:val="center"/>
              <w:rPr>
                <w:color w:val="000000"/>
                <w:kern w:val="0"/>
                <w:szCs w:val="21"/>
              </w:rPr>
            </w:pPr>
            <w:r>
              <w:rPr>
                <w:color w:val="000000"/>
                <w:kern w:val="0"/>
                <w:szCs w:val="21"/>
              </w:rPr>
              <w:t>12.5</w:t>
            </w:r>
          </w:p>
        </w:tc>
        <w:tc>
          <w:tcPr>
            <w:tcW w:w="84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F=0.69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21</w:t>
            </w:r>
          </w:p>
        </w:tc>
        <w:tc>
          <w:tcPr>
            <w:tcW w:w="636" w:type="dxa"/>
            <w:shd w:val="clear" w:color="auto" w:fill="auto"/>
            <w:vAlign w:val="center"/>
          </w:tcPr>
          <w:p>
            <w:pPr>
              <w:widowControl/>
              <w:jc w:val="center"/>
              <w:rPr>
                <w:color w:val="000000"/>
                <w:kern w:val="0"/>
                <w:szCs w:val="21"/>
              </w:rPr>
            </w:pPr>
            <w:r>
              <w:rPr>
                <w:color w:val="000000"/>
                <w:kern w:val="0"/>
                <w:szCs w:val="21"/>
              </w:rPr>
              <w:t>4.81</w:t>
            </w:r>
          </w:p>
        </w:tc>
        <w:tc>
          <w:tcPr>
            <w:tcW w:w="846" w:type="dxa"/>
            <w:shd w:val="clear" w:color="auto" w:fill="auto"/>
            <w:vAlign w:val="center"/>
          </w:tcPr>
          <w:p>
            <w:pPr>
              <w:widowControl/>
              <w:jc w:val="center"/>
              <w:rPr>
                <w:color w:val="000000"/>
                <w:kern w:val="0"/>
                <w:szCs w:val="21"/>
              </w:rPr>
            </w:pPr>
            <w:r>
              <w:rPr>
                <w:color w:val="000000"/>
                <w:kern w:val="0"/>
                <w:szCs w:val="21"/>
              </w:rPr>
              <w:t>0.40</w:t>
            </w:r>
          </w:p>
        </w:tc>
        <w:tc>
          <w:tcPr>
            <w:tcW w:w="846" w:type="dxa"/>
            <w:vAlign w:val="center"/>
          </w:tcPr>
          <w:p>
            <w:pPr>
              <w:widowControl/>
              <w:jc w:val="center"/>
              <w:rPr>
                <w:color w:val="000000"/>
                <w:kern w:val="0"/>
                <w:szCs w:val="21"/>
              </w:rPr>
            </w:pPr>
            <w:r>
              <w:rPr>
                <w:color w:val="000000"/>
                <w:kern w:val="0"/>
                <w:szCs w:val="21"/>
              </w:rPr>
              <w:t>81.0</w:t>
            </w:r>
          </w:p>
        </w:tc>
        <w:tc>
          <w:tcPr>
            <w:tcW w:w="636" w:type="dxa"/>
            <w:vAlign w:val="center"/>
          </w:tcPr>
          <w:p>
            <w:pPr>
              <w:widowControl/>
              <w:jc w:val="center"/>
              <w:rPr>
                <w:color w:val="000000"/>
                <w:kern w:val="0"/>
                <w:szCs w:val="21"/>
              </w:rPr>
            </w:pPr>
            <w:r>
              <w:rPr>
                <w:color w:val="000000"/>
                <w:kern w:val="0"/>
                <w:szCs w:val="21"/>
              </w:rPr>
              <w:t>19.0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5</w:t>
            </w:r>
          </w:p>
        </w:tc>
        <w:tc>
          <w:tcPr>
            <w:tcW w:w="636" w:type="dxa"/>
            <w:shd w:val="clear" w:color="auto" w:fill="auto"/>
            <w:vAlign w:val="center"/>
          </w:tcPr>
          <w:p>
            <w:pPr>
              <w:widowControl/>
              <w:jc w:val="center"/>
              <w:rPr>
                <w:color w:val="000000"/>
                <w:kern w:val="0"/>
                <w:szCs w:val="21"/>
              </w:rPr>
            </w:pPr>
            <w:r>
              <w:rPr>
                <w:color w:val="000000"/>
                <w:kern w:val="0"/>
                <w:szCs w:val="21"/>
              </w:rPr>
              <w:t>4.60</w:t>
            </w:r>
          </w:p>
        </w:tc>
        <w:tc>
          <w:tcPr>
            <w:tcW w:w="846" w:type="dxa"/>
            <w:shd w:val="clear" w:color="auto" w:fill="auto"/>
            <w:vAlign w:val="center"/>
          </w:tcPr>
          <w:p>
            <w:pPr>
              <w:widowControl/>
              <w:jc w:val="center"/>
              <w:rPr>
                <w:color w:val="000000"/>
                <w:kern w:val="0"/>
                <w:szCs w:val="21"/>
              </w:rPr>
            </w:pPr>
            <w:r>
              <w:rPr>
                <w:color w:val="000000"/>
                <w:kern w:val="0"/>
                <w:szCs w:val="21"/>
              </w:rPr>
              <w:t>0.89</w:t>
            </w:r>
          </w:p>
        </w:tc>
        <w:tc>
          <w:tcPr>
            <w:tcW w:w="846" w:type="dxa"/>
            <w:vAlign w:val="center"/>
          </w:tcPr>
          <w:p>
            <w:pPr>
              <w:widowControl/>
              <w:jc w:val="center"/>
              <w:rPr>
                <w:color w:val="000000"/>
                <w:kern w:val="0"/>
                <w:szCs w:val="21"/>
              </w:rPr>
            </w:pPr>
            <w:r>
              <w:rPr>
                <w:color w:val="000000"/>
                <w:kern w:val="0"/>
                <w:szCs w:val="21"/>
              </w:rPr>
              <w:t>80.0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20.0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42</w:t>
            </w:r>
          </w:p>
        </w:tc>
        <w:tc>
          <w:tcPr>
            <w:tcW w:w="636" w:type="dxa"/>
            <w:shd w:val="clear" w:color="auto" w:fill="auto"/>
            <w:vAlign w:val="center"/>
          </w:tcPr>
          <w:p>
            <w:pPr>
              <w:widowControl/>
              <w:jc w:val="center"/>
              <w:rPr>
                <w:color w:val="000000"/>
                <w:kern w:val="0"/>
                <w:szCs w:val="21"/>
              </w:rPr>
            </w:pPr>
            <w:r>
              <w:rPr>
                <w:color w:val="000000"/>
                <w:kern w:val="0"/>
                <w:szCs w:val="21"/>
              </w:rPr>
              <w:t>4.81</w:t>
            </w:r>
          </w:p>
        </w:tc>
        <w:tc>
          <w:tcPr>
            <w:tcW w:w="846" w:type="dxa"/>
            <w:shd w:val="clear" w:color="auto" w:fill="auto"/>
            <w:vAlign w:val="center"/>
          </w:tcPr>
          <w:p>
            <w:pPr>
              <w:widowControl/>
              <w:jc w:val="center"/>
              <w:rPr>
                <w:color w:val="000000"/>
                <w:kern w:val="0"/>
                <w:szCs w:val="21"/>
              </w:rPr>
            </w:pPr>
            <w:r>
              <w:rPr>
                <w:color w:val="000000"/>
                <w:kern w:val="0"/>
                <w:szCs w:val="21"/>
              </w:rPr>
              <w:t>0.45</w:t>
            </w:r>
          </w:p>
        </w:tc>
        <w:tc>
          <w:tcPr>
            <w:tcW w:w="846" w:type="dxa"/>
            <w:vAlign w:val="center"/>
          </w:tcPr>
          <w:p>
            <w:pPr>
              <w:widowControl/>
              <w:jc w:val="center"/>
              <w:rPr>
                <w:color w:val="000000"/>
                <w:kern w:val="0"/>
                <w:szCs w:val="21"/>
              </w:rPr>
            </w:pPr>
            <w:r>
              <w:rPr>
                <w:color w:val="000000"/>
                <w:kern w:val="0"/>
                <w:szCs w:val="21"/>
              </w:rPr>
              <w:t>83.3</w:t>
            </w:r>
          </w:p>
        </w:tc>
        <w:tc>
          <w:tcPr>
            <w:tcW w:w="636" w:type="dxa"/>
            <w:vAlign w:val="center"/>
          </w:tcPr>
          <w:p>
            <w:pPr>
              <w:widowControl/>
              <w:jc w:val="center"/>
              <w:rPr>
                <w:color w:val="000000"/>
                <w:kern w:val="0"/>
                <w:szCs w:val="21"/>
              </w:rPr>
            </w:pPr>
            <w:r>
              <w:rPr>
                <w:color w:val="000000"/>
                <w:kern w:val="0"/>
                <w:szCs w:val="21"/>
              </w:rPr>
              <w:t>14.3</w:t>
            </w:r>
          </w:p>
        </w:tc>
        <w:tc>
          <w:tcPr>
            <w:tcW w:w="846" w:type="dxa"/>
            <w:vAlign w:val="center"/>
          </w:tcPr>
          <w:p>
            <w:pPr>
              <w:widowControl/>
              <w:jc w:val="center"/>
              <w:rPr>
                <w:color w:val="000000"/>
                <w:kern w:val="0"/>
                <w:szCs w:val="21"/>
              </w:rPr>
            </w:pPr>
            <w:r>
              <w:rPr>
                <w:color w:val="000000"/>
                <w:kern w:val="0"/>
                <w:szCs w:val="21"/>
              </w:rPr>
              <w:t>2.4</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Pr>
        <w:pStyle w:val="37"/>
        <w:ind w:firstLine="480"/>
      </w:pPr>
    </w:p>
    <w:p>
      <w:pPr>
        <w:pStyle w:val="70"/>
      </w:pPr>
      <w:r>
        <w:rPr>
          <w:rFonts w:hint="eastAsia"/>
        </w:rPr>
        <w:t>（3）对学术实践经历价值的评价</w:t>
      </w:r>
    </w:p>
    <w:p>
      <w:pPr>
        <w:pStyle w:val="37"/>
        <w:ind w:firstLine="480"/>
      </w:pPr>
      <w:bookmarkStart w:id="182" w:name="PO_34133"/>
      <w:bookmarkEnd w:id="182"/>
      <w:r>
        <w:rPr>
          <w:rFonts w:hint="eastAsia"/>
        </w:rPr>
        <w:t>对研究生来说，对学习成长最有价值的前三位学术实践经历为其他，公开发表学术论文等，参与国家或省部级科研课题。</w:t>
      </w:r>
    </w:p>
    <w:p>
      <w:pPr>
        <w:jc w:val="center"/>
      </w:pPr>
      <w:r>
        <w:rPr>
          <w:rFonts w:hint="eastAsia"/>
        </w:rPr>
        <w:drawing>
          <wp:inline distT="0" distB="0" distL="0" distR="0">
            <wp:extent cx="6124575" cy="3077210"/>
            <wp:effectExtent l="0" t="0" r="0" b="0"/>
            <wp:docPr id="1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59"/>
        <w:spacing w:before="156" w:after="312"/>
      </w:pPr>
      <w:r>
        <w:rPr>
          <w:rFonts w:hint="eastAsia"/>
        </w:rPr>
        <w:t>对学术实践经历的评价</w:t>
      </w:r>
    </w:p>
    <w:p>
      <w:pPr>
        <w:pStyle w:val="53"/>
        <w:spacing w:before="312" w:after="156"/>
      </w:pPr>
      <w:r>
        <w:rPr>
          <w:rFonts w:hint="eastAsia"/>
        </w:rPr>
        <w:t>对学术实践经历的评价</w:t>
      </w:r>
    </w:p>
    <w:tbl>
      <w:tblPr>
        <w:tblStyle w:val="33"/>
        <w:tblW w:w="8958" w:type="dxa"/>
        <w:jc w:val="center"/>
        <w:tblInd w:w="0" w:type="dxa"/>
        <w:tblLayout w:type="fixed"/>
        <w:tblCellMar>
          <w:top w:w="0" w:type="dxa"/>
          <w:left w:w="108" w:type="dxa"/>
          <w:bottom w:w="0" w:type="dxa"/>
          <w:right w:w="108" w:type="dxa"/>
        </w:tblCellMar>
      </w:tblPr>
      <w:tblGrid>
        <w:gridCol w:w="3786"/>
        <w:gridCol w:w="429"/>
        <w:gridCol w:w="589"/>
        <w:gridCol w:w="429"/>
        <w:gridCol w:w="589"/>
        <w:gridCol w:w="429"/>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378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1018"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1018"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1018"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378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其他</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28.6</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8</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25.8</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38.5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2.05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公开发表学术论文等</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16.7</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35.5</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1.64</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1.99</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参与国家或省部级科研课题</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23.8</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9.7</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1.44</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2.13</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 xml:space="preserve">科学道德和学术规范培训 </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11.9</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6.5</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15.4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1.70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 xml:space="preserve">参加国内外学术会议并发布论文 </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7.1</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9.7</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0.64</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1.46</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出国访学（国外联合培养、公派出国）</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7.1</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6.5</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0.57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1.42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378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参加学科竞赛</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6.5</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7.7</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1.23</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bl>
    <w:p/>
    <w:p>
      <w:pPr>
        <w:pStyle w:val="70"/>
      </w:pPr>
      <w:r>
        <w:rPr>
          <w:rFonts w:hint="eastAsia"/>
        </w:rPr>
        <w:t>（4）影响培养质量的因素</w:t>
      </w:r>
    </w:p>
    <w:p>
      <w:pPr>
        <w:pStyle w:val="37"/>
        <w:ind w:firstLine="480"/>
      </w:pPr>
      <w:bookmarkStart w:id="183" w:name="PO_34134"/>
      <w:bookmarkEnd w:id="183"/>
      <w:r>
        <w:rPr>
          <w:rFonts w:hint="eastAsia"/>
        </w:rPr>
        <w:t>对研究生来说，其认为影响研究生培养质量的前三位重要因素为导师指导、学科发展水平、社会实践活动。</w:t>
      </w:r>
    </w:p>
    <w:p>
      <w:pPr>
        <w:jc w:val="center"/>
      </w:pPr>
      <w:r>
        <w:rPr>
          <w:sz w:val="18"/>
        </w:rPr>
        <w:drawing>
          <wp:inline distT="0" distB="0" distL="0" distR="0">
            <wp:extent cx="5676900" cy="4629150"/>
            <wp:effectExtent l="0" t="0" r="0" b="0"/>
            <wp:docPr id="1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59"/>
        <w:spacing w:before="156" w:after="312"/>
      </w:pPr>
      <w:r>
        <w:rPr>
          <w:rFonts w:hint="eastAsia"/>
        </w:rPr>
        <w:t>影响研究生培养质量的因素</w:t>
      </w:r>
    </w:p>
    <w:p>
      <w:pPr>
        <w:pStyle w:val="53"/>
        <w:spacing w:before="312" w:after="156"/>
      </w:pPr>
      <w:r>
        <w:rPr>
          <w:rFonts w:hint="eastAsia"/>
        </w:rPr>
        <w:t>影响研究生培养质量的因素</w:t>
      </w:r>
    </w:p>
    <w:tbl>
      <w:tblPr>
        <w:tblStyle w:val="33"/>
        <w:tblW w:w="6571" w:type="dxa"/>
        <w:jc w:val="center"/>
        <w:tblInd w:w="0" w:type="dxa"/>
        <w:tblLayout w:type="fixed"/>
        <w:tblCellMar>
          <w:top w:w="0" w:type="dxa"/>
          <w:left w:w="108" w:type="dxa"/>
          <w:bottom w:w="0" w:type="dxa"/>
          <w:right w:w="108" w:type="dxa"/>
        </w:tblCellMar>
      </w:tblPr>
      <w:tblGrid>
        <w:gridCol w:w="1476"/>
        <w:gridCol w:w="429"/>
        <w:gridCol w:w="589"/>
        <w:gridCol w:w="352"/>
        <w:gridCol w:w="589"/>
        <w:gridCol w:w="429"/>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147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1018"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1018"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147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导师指导</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28.6</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21.4</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26.2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2.33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2.00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学科发展水平</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28.6</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11.9</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1.81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社会实践活动</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11.9</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14.3</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23.8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1.26</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1.73</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学术氛围</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16.7</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11.9</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1.24</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1.96</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理论课程学习</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16.7</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1.46</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学术交流活动</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2.4</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5</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11.9</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0.57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1.21</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研究训练</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2.4</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7.1</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9.5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1.09</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学科管理水平</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1.23</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科研经费</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7.1</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0.07</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0.26</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9</w:t>
            </w:r>
          </w:p>
        </w:tc>
      </w:tr>
      <w:tr>
        <w:tblPrEx>
          <w:tblLayout w:type="fixed"/>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学位论文研究</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0.22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10</w:t>
            </w:r>
          </w:p>
        </w:tc>
      </w:tr>
    </w:tbl>
    <w:p>
      <w:pPr>
        <w:pStyle w:val="37"/>
        <w:ind w:firstLine="480"/>
      </w:pPr>
    </w:p>
    <w:p>
      <w:pPr>
        <w:pStyle w:val="67"/>
      </w:pPr>
      <w:bookmarkStart w:id="184" w:name="_Toc470167415"/>
      <w:r>
        <w:rPr>
          <w:rFonts w:hint="eastAsia"/>
        </w:rPr>
        <w:t>4、对就业教育及服务的评价</w:t>
      </w:r>
      <w:bookmarkEnd w:id="184"/>
    </w:p>
    <w:p>
      <w:pPr>
        <w:pStyle w:val="70"/>
      </w:pPr>
      <w:bookmarkStart w:id="185" w:name="PO_3414"/>
      <w:bookmarkEnd w:id="185"/>
      <w:r>
        <w:rPr>
          <w:rFonts w:hint="eastAsia"/>
        </w:rPr>
        <w:t>（1）参与情况</w:t>
      </w:r>
    </w:p>
    <w:p>
      <w:pPr>
        <w:pStyle w:val="37"/>
        <w:ind w:firstLine="480"/>
      </w:pPr>
      <w:r>
        <w:rPr>
          <w:rFonts w:hint="eastAsia"/>
        </w:rPr>
        <w:t>对于学校的就业教育及服务，参与比例最高的前三项依次为就业指导课程（92.9%），就业信息服务（88.1%），就业指导讲座、工作坊与活动（76.2%）。</w:t>
      </w:r>
    </w:p>
    <w:p>
      <w:pPr>
        <w:jc w:val="center"/>
      </w:pPr>
      <w:r>
        <w:rPr>
          <w:rFonts w:hint="eastAsia"/>
        </w:rPr>
        <w:drawing>
          <wp:inline distT="0" distB="0" distL="0" distR="0">
            <wp:extent cx="5274310" cy="8372475"/>
            <wp:effectExtent l="19050" t="0" r="21590" b="0"/>
            <wp:docPr id="17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59"/>
        <w:spacing w:before="156" w:after="312"/>
      </w:pPr>
      <w:r>
        <w:rPr>
          <w:rFonts w:hint="eastAsia"/>
        </w:rPr>
        <w:t>研究生就业教育及服务的参与情况</w:t>
      </w:r>
    </w:p>
    <w:p>
      <w:pPr>
        <w:pStyle w:val="70"/>
      </w:pPr>
      <w:r>
        <w:rPr>
          <w:rFonts w:hint="eastAsia"/>
        </w:rPr>
        <w:t>（2）满意程度</w:t>
      </w:r>
    </w:p>
    <w:p>
      <w:pPr>
        <w:pStyle w:val="37"/>
        <w:ind w:firstLine="480"/>
      </w:pPr>
      <w:r>
        <w:rPr>
          <w:rFonts w:hint="eastAsia"/>
        </w:rPr>
        <w:t>研究生向我们反馈了他们参与学校提供的就业教育和服务的情况，并对参与过的教育和服务项目进行了满意度评价。满意度最高的前三项依次为：就业相关政策咨询（4.72）、学校就业推荐（4.72）、学院就业推荐（4.72）。</w:t>
      </w:r>
    </w:p>
    <w:p>
      <w:pPr>
        <w:jc w:val="center"/>
      </w:pPr>
      <w:r>
        <w:rPr>
          <w:rFonts w:hint="eastAsia"/>
        </w:rPr>
        <w:drawing>
          <wp:inline distT="0" distB="0" distL="0" distR="0">
            <wp:extent cx="5791200" cy="8305800"/>
            <wp:effectExtent l="19050" t="0" r="19050" b="0"/>
            <wp:docPr id="17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pStyle w:val="59"/>
        <w:spacing w:before="156" w:after="312"/>
      </w:pPr>
      <w:r>
        <w:rPr>
          <w:rFonts w:hint="eastAsia"/>
        </w:rPr>
        <w:t>研究生就业教育及服务的满意度</w:t>
      </w:r>
    </w:p>
    <w:p>
      <w:pPr>
        <w:pStyle w:val="53"/>
        <w:spacing w:before="312" w:after="156"/>
      </w:pPr>
      <w:r>
        <w:rPr>
          <w:rFonts w:hint="eastAsia"/>
        </w:rPr>
        <w:t>研究生就业教育及服务的参与情况及满意度评价</w:t>
      </w:r>
    </w:p>
    <w:tbl>
      <w:tblPr>
        <w:tblStyle w:val="33"/>
        <w:tblW w:w="10880" w:type="dxa"/>
        <w:jc w:val="center"/>
        <w:tblInd w:w="0" w:type="dxa"/>
        <w:tblLayout w:type="fixed"/>
        <w:tblCellMar>
          <w:top w:w="0" w:type="dxa"/>
          <w:left w:w="108" w:type="dxa"/>
          <w:bottom w:w="0" w:type="dxa"/>
          <w:right w:w="108" w:type="dxa"/>
        </w:tblCellMar>
      </w:tblPr>
      <w:tblGrid>
        <w:gridCol w:w="2987"/>
        <w:gridCol w:w="426"/>
        <w:gridCol w:w="855"/>
        <w:gridCol w:w="1108"/>
        <w:gridCol w:w="554"/>
        <w:gridCol w:w="584"/>
        <w:gridCol w:w="709"/>
        <w:gridCol w:w="808"/>
        <w:gridCol w:w="584"/>
        <w:gridCol w:w="806"/>
        <w:gridCol w:w="709"/>
        <w:gridCol w:w="750"/>
      </w:tblGrid>
      <w:tr>
        <w:tblPrEx>
          <w:tblLayout w:type="fixed"/>
          <w:tblCellMar>
            <w:top w:w="0" w:type="dxa"/>
            <w:left w:w="108" w:type="dxa"/>
            <w:bottom w:w="0" w:type="dxa"/>
            <w:right w:w="108" w:type="dxa"/>
          </w:tblCellMar>
        </w:tblPrEx>
        <w:trPr>
          <w:trHeight w:val="270" w:hRule="atLeast"/>
          <w:jc w:val="center"/>
        </w:trPr>
        <w:tc>
          <w:tcPr>
            <w:tcW w:w="2987"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426"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196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57"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987"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426" w:type="dxa"/>
            <w:vMerge w:val="continue"/>
            <w:tcBorders>
              <w:left w:val="dotted" w:color="00B050" w:sz="8" w:space="0"/>
              <w:bottom w:val="single" w:color="00B050" w:sz="8" w:space="0"/>
              <w:right w:val="dotted" w:color="00B050" w:sz="8" w:space="0"/>
            </w:tcBorders>
            <w:vAlign w:val="center"/>
          </w:tcPr>
          <w:p>
            <w:pPr>
              <w:pStyle w:val="52"/>
              <w:jc w:val="center"/>
            </w:pP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不满意</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校园招聘会/宣讲会</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64.3</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27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4.56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0.70</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63.0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3.7</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就业信息服务</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88.1</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11.9</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37</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0.54</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67.6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29.7</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职业测评</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35.7</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64.3</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0.63</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56.3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37.5</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6.3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就业指导课程</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92.9</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7.1</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4.49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0.82</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25.6</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5.1</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5.1</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就业指导讲座、工作坊与活动</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76.2</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23.8</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4.69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0.47</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68.8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31.3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团体职业辅导</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35.7</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64.3</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0.51</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56.3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43.8</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个体职业辅导</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26.2</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73.8</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0.67</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58.3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33.3</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8.3</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困难帮扶</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21.4</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78.6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0.53</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50.0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学校就业推荐</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59.5</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40.5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0.46</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72.0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学院就业推荐</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59.5</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40.5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0.46</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72.0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就业实习/实践</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66.7</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33.3</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4.71</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0.53</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75.0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987"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就业相关政策咨询</w:t>
            </w:r>
          </w:p>
        </w:tc>
        <w:tc>
          <w:tcPr>
            <w:tcW w:w="426"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55"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69.0</w:t>
            </w:r>
          </w:p>
        </w:tc>
        <w:tc>
          <w:tcPr>
            <w:tcW w:w="11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31.0</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0.45</w:t>
            </w:r>
          </w:p>
        </w:tc>
        <w:tc>
          <w:tcPr>
            <w:tcW w:w="808"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72.4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27.6</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50"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r>
        <w:rPr>
          <w:rFonts w:hint="eastAsia"/>
          <w:sz w:val="20"/>
          <w:szCs w:val="20"/>
        </w:rPr>
        <w:t>注：得分5=很满意，4=满意，3=不好说，2=不满意，1=很不满意</w:t>
      </w:r>
    </w:p>
    <w:p>
      <w:pPr>
        <w:pStyle w:val="52"/>
        <w:ind w:firstLine="480"/>
      </w:pPr>
    </w:p>
    <w:p>
      <w:pPr>
        <w:pStyle w:val="67"/>
      </w:pPr>
      <w:bookmarkStart w:id="186" w:name="_Toc470167416"/>
      <w:r>
        <w:rPr>
          <w:rFonts w:hint="eastAsia"/>
        </w:rPr>
        <w:t>5、对创业教育及服务的评价</w:t>
      </w:r>
      <w:bookmarkEnd w:id="186"/>
    </w:p>
    <w:p>
      <w:pPr>
        <w:pStyle w:val="70"/>
      </w:pPr>
      <w:bookmarkStart w:id="187" w:name="PO_3415"/>
      <w:bookmarkEnd w:id="187"/>
      <w:r>
        <w:rPr>
          <w:rFonts w:hint="eastAsia"/>
        </w:rPr>
        <w:t>（1）参与情况</w:t>
      </w:r>
    </w:p>
    <w:p>
      <w:pPr>
        <w:pStyle w:val="37"/>
        <w:ind w:firstLine="480"/>
      </w:pPr>
      <w:r>
        <w:rPr>
          <w:rFonts w:hint="eastAsia"/>
        </w:rPr>
        <w:t>对于学校的创业教育及服务，参与比例最高的前三项依次为创业相关讲座（59.5%），创业课程（45.2%），与创业者交流（33.3%）。</w:t>
      </w:r>
    </w:p>
    <w:p>
      <w:pPr>
        <w:jc w:val="center"/>
      </w:pPr>
      <w:r>
        <w:rPr>
          <w:rFonts w:hint="eastAsia"/>
        </w:rPr>
        <w:drawing>
          <wp:inline distT="0" distB="0" distL="0" distR="0">
            <wp:extent cx="6076950" cy="3077210"/>
            <wp:effectExtent l="19050" t="0" r="19050" b="8890"/>
            <wp:docPr id="1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pStyle w:val="59"/>
        <w:spacing w:before="156" w:after="312"/>
      </w:pPr>
      <w:r>
        <w:rPr>
          <w:rFonts w:hint="eastAsia"/>
        </w:rPr>
        <w:t>研究生创业教育及服务的参与情况</w:t>
      </w:r>
    </w:p>
    <w:p>
      <w:pPr>
        <w:pStyle w:val="70"/>
      </w:pPr>
      <w:r>
        <w:rPr>
          <w:rFonts w:hint="eastAsia"/>
        </w:rPr>
        <w:t>（2）满意程度</w:t>
      </w:r>
    </w:p>
    <w:p>
      <w:pPr>
        <w:pStyle w:val="37"/>
        <w:ind w:firstLine="480"/>
      </w:pPr>
      <w:r>
        <w:rPr>
          <w:rFonts w:hint="eastAsia"/>
        </w:rPr>
        <w:t>研究生针对他们参与过的创业教育和服务项目进行了满意度评价。满意度最高的前三项依次为：创业类学生社团活动（4.85），参观创业企业（4.82），与创业者交流（4.79）。</w:t>
      </w:r>
    </w:p>
    <w:p>
      <w:pPr>
        <w:jc w:val="center"/>
      </w:pPr>
      <w:r>
        <w:rPr>
          <w:rFonts w:hint="eastAsia"/>
        </w:rPr>
        <w:drawing>
          <wp:inline distT="0" distB="0" distL="0" distR="0">
            <wp:extent cx="6124575" cy="3077210"/>
            <wp:effectExtent l="19050" t="0" r="9525" b="8890"/>
            <wp:docPr id="18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59"/>
        <w:spacing w:before="156" w:after="312"/>
      </w:pPr>
      <w:r>
        <w:rPr>
          <w:rFonts w:hint="eastAsia"/>
        </w:rPr>
        <w:t>研究生创业教育及服务的满意度</w:t>
      </w:r>
    </w:p>
    <w:p>
      <w:pPr>
        <w:pStyle w:val="53"/>
        <w:spacing w:before="312" w:after="156"/>
      </w:pPr>
      <w:r>
        <w:rPr>
          <w:rFonts w:hint="eastAsia"/>
        </w:rPr>
        <w:t>研究生创业教育及服务活动中的参与情况及满意程度</w:t>
      </w:r>
    </w:p>
    <w:tbl>
      <w:tblPr>
        <w:tblStyle w:val="33"/>
        <w:tblW w:w="10567" w:type="dxa"/>
        <w:jc w:val="center"/>
        <w:tblInd w:w="0" w:type="dxa"/>
        <w:tblLayout w:type="fixed"/>
        <w:tblCellMar>
          <w:top w:w="0" w:type="dxa"/>
          <w:left w:w="108" w:type="dxa"/>
          <w:bottom w:w="0" w:type="dxa"/>
          <w:right w:w="108" w:type="dxa"/>
        </w:tblCellMar>
      </w:tblPr>
      <w:tblGrid>
        <w:gridCol w:w="2592"/>
        <w:gridCol w:w="444"/>
        <w:gridCol w:w="869"/>
        <w:gridCol w:w="1134"/>
        <w:gridCol w:w="554"/>
        <w:gridCol w:w="584"/>
        <w:gridCol w:w="709"/>
        <w:gridCol w:w="819"/>
        <w:gridCol w:w="584"/>
        <w:gridCol w:w="806"/>
        <w:gridCol w:w="709"/>
        <w:gridCol w:w="763"/>
      </w:tblGrid>
      <w:tr>
        <w:tblPrEx>
          <w:tblLayout w:type="fixed"/>
          <w:tblCellMar>
            <w:top w:w="0" w:type="dxa"/>
            <w:left w:w="108" w:type="dxa"/>
            <w:bottom w:w="0" w:type="dxa"/>
            <w:right w:w="108" w:type="dxa"/>
          </w:tblCellMar>
        </w:tblPrEx>
        <w:trPr>
          <w:trHeight w:val="270" w:hRule="atLeast"/>
          <w:jc w:val="center"/>
        </w:trPr>
        <w:tc>
          <w:tcPr>
            <w:tcW w:w="2592" w:type="dxa"/>
            <w:vMerge w:val="restart"/>
            <w:tcBorders>
              <w:top w:val="single" w:color="00B050" w:sz="8" w:space="0"/>
              <w:left w:val="single" w:color="00B050" w:sz="8" w:space="0"/>
              <w:right w:val="dotted" w:color="00B050" w:sz="8" w:space="0"/>
            </w:tcBorders>
            <w:shd w:val="clear" w:color="auto" w:fill="auto"/>
            <w:vAlign w:val="center"/>
          </w:tcPr>
          <w:p>
            <w:pPr>
              <w:pStyle w:val="52"/>
              <w:ind w:firstLine="480"/>
              <w:jc w:val="left"/>
              <w:rPr>
                <w:szCs w:val="20"/>
              </w:rPr>
            </w:pPr>
          </w:p>
        </w:tc>
        <w:tc>
          <w:tcPr>
            <w:tcW w:w="444" w:type="dxa"/>
            <w:vMerge w:val="restart"/>
            <w:tcBorders>
              <w:top w:val="single" w:color="00B050" w:sz="8" w:space="0"/>
              <w:left w:val="dotted" w:color="00B050" w:sz="8" w:space="0"/>
              <w:right w:val="dotted" w:color="00B050" w:sz="8" w:space="0"/>
            </w:tcBorders>
            <w:vAlign w:val="center"/>
          </w:tcPr>
          <w:p>
            <w:pPr>
              <w:pStyle w:val="52"/>
              <w:jc w:val="center"/>
            </w:pPr>
            <w:r>
              <w:rPr>
                <w:rFonts w:hint="eastAsia"/>
              </w:rPr>
              <w:t>N</w:t>
            </w:r>
          </w:p>
        </w:tc>
        <w:tc>
          <w:tcPr>
            <w:tcW w:w="2003" w:type="dxa"/>
            <w:gridSpan w:val="2"/>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参与情况（%）</w:t>
            </w:r>
          </w:p>
        </w:tc>
        <w:tc>
          <w:tcPr>
            <w:tcW w:w="55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N</w:t>
            </w:r>
          </w:p>
        </w:tc>
        <w:tc>
          <w:tcPr>
            <w:tcW w:w="584"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均值</w:t>
            </w:r>
          </w:p>
        </w:tc>
        <w:tc>
          <w:tcPr>
            <w:tcW w:w="709" w:type="dxa"/>
            <w:vMerge w:val="restart"/>
            <w:tcBorders>
              <w:top w:val="single" w:color="00B050" w:sz="8" w:space="0"/>
              <w:left w:val="dotted" w:color="00B050" w:sz="8" w:space="0"/>
              <w:right w:val="dotted" w:color="00B050" w:sz="8" w:space="0"/>
            </w:tcBorders>
            <w:shd w:val="clear" w:color="auto" w:fill="auto"/>
            <w:vAlign w:val="center"/>
          </w:tcPr>
          <w:p>
            <w:pPr>
              <w:pStyle w:val="52"/>
              <w:jc w:val="center"/>
              <w:rPr>
                <w:szCs w:val="20"/>
              </w:rPr>
            </w:pPr>
            <w:r>
              <w:rPr>
                <w:rFonts w:hint="eastAsia"/>
              </w:rPr>
              <w:t>标准差</w:t>
            </w:r>
          </w:p>
        </w:tc>
        <w:tc>
          <w:tcPr>
            <w:tcW w:w="3681" w:type="dxa"/>
            <w:gridSpan w:val="5"/>
            <w:tcBorders>
              <w:top w:val="single" w:color="00B050" w:sz="8" w:space="0"/>
              <w:left w:val="dotted" w:color="00B050" w:sz="8" w:space="0"/>
              <w:bottom w:val="single" w:color="00B050" w:sz="8" w:space="0"/>
              <w:right w:val="single" w:color="00B050" w:sz="8" w:space="0"/>
            </w:tcBorders>
            <w:vAlign w:val="center"/>
          </w:tcPr>
          <w:p>
            <w:pPr>
              <w:pStyle w:val="52"/>
              <w:jc w:val="center"/>
            </w:pPr>
            <w:r>
              <w:rPr>
                <w:rFonts w:hint="eastAsia"/>
              </w:rPr>
              <w:t>满意程度（%）</w:t>
            </w:r>
          </w:p>
        </w:tc>
      </w:tr>
      <w:tr>
        <w:tblPrEx>
          <w:tblLayout w:type="fixed"/>
          <w:tblCellMar>
            <w:top w:w="0" w:type="dxa"/>
            <w:left w:w="108" w:type="dxa"/>
            <w:bottom w:w="0" w:type="dxa"/>
            <w:right w:w="108" w:type="dxa"/>
          </w:tblCellMar>
        </w:tblPrEx>
        <w:trPr>
          <w:trHeight w:val="270" w:hRule="atLeast"/>
          <w:jc w:val="center"/>
        </w:trPr>
        <w:tc>
          <w:tcPr>
            <w:tcW w:w="2592" w:type="dxa"/>
            <w:vMerge w:val="continue"/>
            <w:tcBorders>
              <w:left w:val="single" w:color="00B050" w:sz="8" w:space="0"/>
              <w:bottom w:val="single" w:color="00B050" w:sz="8" w:space="0"/>
              <w:right w:val="dotted" w:color="00B050" w:sz="8" w:space="0"/>
            </w:tcBorders>
            <w:shd w:val="clear" w:color="auto" w:fill="auto"/>
            <w:vAlign w:val="center"/>
          </w:tcPr>
          <w:p>
            <w:pPr>
              <w:pStyle w:val="52"/>
              <w:jc w:val="left"/>
            </w:pPr>
          </w:p>
        </w:tc>
        <w:tc>
          <w:tcPr>
            <w:tcW w:w="444" w:type="dxa"/>
            <w:vMerge w:val="continue"/>
            <w:tcBorders>
              <w:left w:val="dotted" w:color="00B050" w:sz="8" w:space="0"/>
              <w:bottom w:val="single" w:color="00B050" w:sz="8" w:space="0"/>
              <w:right w:val="dotted" w:color="00B050" w:sz="8" w:space="0"/>
            </w:tcBorders>
            <w:vAlign w:val="center"/>
          </w:tcPr>
          <w:p>
            <w:pPr>
              <w:pStyle w:val="52"/>
              <w:jc w:val="center"/>
            </w:pP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参加过</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未参加过</w:t>
            </w:r>
          </w:p>
        </w:tc>
        <w:tc>
          <w:tcPr>
            <w:tcW w:w="55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584"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709" w:type="dxa"/>
            <w:vMerge w:val="continue"/>
            <w:tcBorders>
              <w:left w:val="dotted" w:color="00B050" w:sz="8" w:space="0"/>
              <w:bottom w:val="single" w:color="00B050" w:sz="8" w:space="0"/>
              <w:right w:val="dotted" w:color="00B050" w:sz="8" w:space="0"/>
            </w:tcBorders>
            <w:shd w:val="clear" w:color="auto" w:fill="auto"/>
            <w:vAlign w:val="center"/>
          </w:tcPr>
          <w:p>
            <w:pPr>
              <w:pStyle w:val="52"/>
              <w:jc w:val="center"/>
            </w:pP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rPr>
                <w:rFonts w:hint="eastAsia"/>
              </w:rPr>
              <w:t>很满意</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满意</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不好说</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rPr>
                <w:szCs w:val="20"/>
              </w:rPr>
            </w:pPr>
            <w:r>
              <w:rPr>
                <w:rFonts w:hint="eastAsia"/>
              </w:rPr>
              <w:t>创业课程</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45.2</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54.8</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20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4.75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0.44</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75.0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创业相关讲座</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59.5</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40.5</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4.56</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0.58</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60.0</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36.0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创业类学生社团活动</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28.6</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71.4</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13</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4.85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0.38</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84.6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创业计划大赛</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16.7</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83.3</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0.71</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87.5</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12.5</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参观创业企业</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23.8</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76.2</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11</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4.82</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0.40</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81.8</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18.2</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与创业者交流</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33.3</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66.7</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14</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4.79</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0.43</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78.6</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21.4</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r>
        <w:tblPrEx>
          <w:tblLayout w:type="fixed"/>
          <w:tblCellMar>
            <w:top w:w="0" w:type="dxa"/>
            <w:left w:w="108" w:type="dxa"/>
            <w:bottom w:w="0" w:type="dxa"/>
            <w:right w:w="108" w:type="dxa"/>
          </w:tblCellMar>
        </w:tblPrEx>
        <w:trPr>
          <w:trHeight w:val="270" w:hRule="atLeast"/>
          <w:jc w:val="center"/>
        </w:trPr>
        <w:tc>
          <w:tcPr>
            <w:tcW w:w="2592"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jc w:val="left"/>
            </w:pPr>
            <w:r>
              <w:rPr>
                <w:rFonts w:hint="eastAsia"/>
              </w:rPr>
              <w:t>参与创业企业的实习项目</w:t>
            </w:r>
          </w:p>
        </w:tc>
        <w:tc>
          <w:tcPr>
            <w:tcW w:w="44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42</w:t>
            </w:r>
          </w:p>
        </w:tc>
        <w:tc>
          <w:tcPr>
            <w:tcW w:w="86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21.4</w:t>
            </w:r>
          </w:p>
        </w:tc>
        <w:tc>
          <w:tcPr>
            <w:tcW w:w="1134" w:type="dxa"/>
            <w:tcBorders>
              <w:top w:val="single" w:color="00B050" w:sz="8" w:space="0"/>
              <w:left w:val="dotted" w:color="00B050" w:sz="8" w:space="0"/>
              <w:bottom w:val="single" w:color="00B050" w:sz="8" w:space="0"/>
              <w:right w:val="dotted" w:color="00B050" w:sz="8" w:space="0"/>
            </w:tcBorders>
            <w:vAlign w:val="center"/>
          </w:tcPr>
          <w:p>
            <w:pPr>
              <w:pStyle w:val="52"/>
              <w:jc w:val="center"/>
            </w:pPr>
            <w:r>
              <w:t>78.6</w:t>
            </w:r>
          </w:p>
        </w:tc>
        <w:tc>
          <w:tcPr>
            <w:tcW w:w="55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4.78</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0.67</w:t>
            </w:r>
          </w:p>
        </w:tc>
        <w:tc>
          <w:tcPr>
            <w:tcW w:w="819" w:type="dxa"/>
            <w:tcBorders>
              <w:top w:val="single" w:color="00B050" w:sz="8" w:space="0"/>
              <w:left w:val="dotted" w:color="00B050" w:sz="8" w:space="0"/>
              <w:bottom w:val="single" w:color="00B050" w:sz="8" w:space="0"/>
              <w:right w:val="dotted" w:color="00B050" w:sz="8" w:space="0"/>
            </w:tcBorders>
            <w:vAlign w:val="center"/>
          </w:tcPr>
          <w:p>
            <w:pPr>
              <w:pStyle w:val="52"/>
              <w:jc w:val="center"/>
            </w:pPr>
            <w:r>
              <w:t>88.9</w:t>
            </w:r>
          </w:p>
        </w:tc>
        <w:tc>
          <w:tcPr>
            <w:tcW w:w="58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80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11.1</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63" w:type="dxa"/>
            <w:tcBorders>
              <w:top w:val="single" w:color="00B050" w:sz="8" w:space="0"/>
              <w:left w:val="dotted" w:color="00B050" w:sz="8" w:space="0"/>
              <w:bottom w:val="single" w:color="00B050" w:sz="8" w:space="0"/>
              <w:right w:val="single" w:color="00B050" w:sz="8" w:space="0"/>
            </w:tcBorders>
            <w:vAlign w:val="center"/>
          </w:tcPr>
          <w:p>
            <w:pPr>
              <w:pStyle w:val="52"/>
              <w:jc w:val="center"/>
            </w:pPr>
            <w:r>
              <w:t>0.0</w:t>
            </w:r>
          </w:p>
        </w:tc>
      </w:tr>
    </w:tbl>
    <w:p>
      <w:r>
        <w:rPr>
          <w:rFonts w:hint="eastAsia"/>
          <w:sz w:val="20"/>
          <w:szCs w:val="20"/>
        </w:rPr>
        <w:t>注：得分5=很满意，4=满意，3=不好说，2=不满意，1=很不满意</w:t>
      </w:r>
    </w:p>
    <w:p>
      <w:pPr>
        <w:pStyle w:val="37"/>
        <w:ind w:firstLine="480"/>
      </w:pPr>
    </w:p>
    <w:p>
      <w:pPr>
        <w:pStyle w:val="67"/>
      </w:pPr>
      <w:bookmarkStart w:id="188" w:name="_Toc470167417"/>
      <w:r>
        <w:rPr>
          <w:rFonts w:hint="eastAsia"/>
        </w:rPr>
        <w:t>6、创业计划情况</w:t>
      </w:r>
      <w:bookmarkEnd w:id="188"/>
    </w:p>
    <w:p>
      <w:pPr>
        <w:pStyle w:val="37"/>
        <w:ind w:firstLine="480"/>
      </w:pPr>
      <w:bookmarkStart w:id="189" w:name="PO_3416"/>
      <w:bookmarkEnd w:id="189"/>
      <w:r>
        <w:rPr>
          <w:rFonts w:hint="eastAsia"/>
        </w:rPr>
        <w:t>对于研究生的创业计划，26.2%的研究生表示在上学期间已经开始创业，其中有4.8%的研究生表示会在毕业后停止创业，而21.4%则表示会在创业路上继续前进。</w:t>
      </w:r>
    </w:p>
    <w:p>
      <w:pPr>
        <w:pStyle w:val="37"/>
        <w:ind w:firstLine="480"/>
      </w:pPr>
      <w:r>
        <w:rPr>
          <w:rFonts w:hint="eastAsia"/>
        </w:rPr>
        <w:t>在上学期间没有创业的研究生中，&lt;%%&gt;的研究生表示会在毕业后马上开始创业，31.0%表示不会创业，42.9%打算工作积累一段时间再创业（平均时间3.61年）。</w:t>
      </w:r>
    </w:p>
    <w:p>
      <w:pPr>
        <w:jc w:val="center"/>
      </w:pPr>
      <w:r>
        <w:rPr>
          <w:rFonts w:hint="eastAsia"/>
        </w:rPr>
        <w:drawing>
          <wp:inline distT="0" distB="0" distL="0" distR="0">
            <wp:extent cx="6076950" cy="3077210"/>
            <wp:effectExtent l="19050" t="0" r="19050" b="8890"/>
            <wp:docPr id="1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59"/>
        <w:spacing w:before="156" w:after="312"/>
      </w:pPr>
      <w:r>
        <w:rPr>
          <w:rFonts w:hint="eastAsia"/>
        </w:rPr>
        <w:t>研究生创业计划情况</w:t>
      </w:r>
    </w:p>
    <w:p>
      <w:pPr>
        <w:pStyle w:val="53"/>
        <w:spacing w:before="312" w:after="156"/>
      </w:pPr>
      <w:r>
        <w:rPr>
          <w:rFonts w:hint="eastAsia"/>
        </w:rPr>
        <w:t>研究生创业计划情况</w:t>
      </w:r>
    </w:p>
    <w:tbl>
      <w:tblPr>
        <w:tblStyle w:val="33"/>
        <w:tblW w:w="542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441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441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上学期间未创业，毕业后也不打算创业</w:t>
            </w:r>
          </w:p>
        </w:tc>
        <w:tc>
          <w:tcPr>
            <w:tcW w:w="426" w:type="dxa"/>
            <w:shd w:val="clear" w:color="auto" w:fill="auto"/>
            <w:vAlign w:val="center"/>
          </w:tcPr>
          <w:p>
            <w:pPr>
              <w:pStyle w:val="52"/>
              <w:jc w:val="center"/>
              <w:rPr>
                <w:kern w:val="0"/>
              </w:rPr>
            </w:pPr>
            <w:r>
              <w:rPr>
                <w:kern w:val="0"/>
              </w:rPr>
              <w:t>13</w:t>
            </w:r>
          </w:p>
        </w:tc>
        <w:tc>
          <w:tcPr>
            <w:tcW w:w="584" w:type="dxa"/>
            <w:shd w:val="clear" w:color="auto" w:fill="auto"/>
            <w:vAlign w:val="center"/>
          </w:tcPr>
          <w:p>
            <w:pPr>
              <w:pStyle w:val="52"/>
              <w:jc w:val="center"/>
              <w:rPr>
                <w:kern w:val="0"/>
              </w:rPr>
            </w:pPr>
            <w:r>
              <w:rPr>
                <w:kern w:val="0"/>
              </w:rPr>
              <w:t>31.0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上学期间未创业，毕业后打算工作几年再创业</w:t>
            </w:r>
          </w:p>
        </w:tc>
        <w:tc>
          <w:tcPr>
            <w:tcW w:w="426" w:type="dxa"/>
            <w:shd w:val="clear" w:color="auto" w:fill="auto"/>
            <w:vAlign w:val="center"/>
          </w:tcPr>
          <w:p>
            <w:pPr>
              <w:pStyle w:val="52"/>
              <w:jc w:val="center"/>
              <w:rPr>
                <w:kern w:val="0"/>
              </w:rPr>
            </w:pPr>
            <w:r>
              <w:rPr>
                <w:kern w:val="0"/>
              </w:rPr>
              <w:t>18</w:t>
            </w:r>
          </w:p>
        </w:tc>
        <w:tc>
          <w:tcPr>
            <w:tcW w:w="584" w:type="dxa"/>
            <w:shd w:val="clear" w:color="auto" w:fill="auto"/>
            <w:vAlign w:val="center"/>
          </w:tcPr>
          <w:p>
            <w:pPr>
              <w:pStyle w:val="52"/>
              <w:jc w:val="center"/>
              <w:rPr>
                <w:kern w:val="0"/>
              </w:rPr>
            </w:pPr>
            <w:r>
              <w:rPr>
                <w:kern w:val="0"/>
              </w:rPr>
              <w:t>42.9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上学期间创业了，毕业后打算继续创业</w:t>
            </w:r>
          </w:p>
        </w:tc>
        <w:tc>
          <w:tcPr>
            <w:tcW w:w="426"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21.4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416" w:type="dxa"/>
            <w:shd w:val="clear" w:color="auto" w:fill="auto"/>
            <w:vAlign w:val="center"/>
          </w:tcPr>
          <w:p>
            <w:pPr>
              <w:pStyle w:val="52"/>
              <w:rPr>
                <w:kern w:val="0"/>
              </w:rPr>
            </w:pPr>
            <w:r>
              <w:rPr>
                <w:rFonts w:hint="eastAsia"/>
                <w:kern w:val="0"/>
              </w:rPr>
              <w:t>上学期间创业了，毕业后打算暂停创业</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4.8</w:t>
            </w:r>
          </w:p>
        </w:tc>
      </w:tr>
    </w:tbl>
    <w:p>
      <w:pPr>
        <w:pStyle w:val="52"/>
        <w:ind w:firstLine="480"/>
      </w:pPr>
    </w:p>
    <w:p>
      <w:pPr>
        <w:pStyle w:val="67"/>
      </w:pPr>
      <w:bookmarkStart w:id="190" w:name="_Toc470167418"/>
      <w:r>
        <w:rPr>
          <w:rFonts w:hint="eastAsia"/>
        </w:rPr>
        <w:t>7、创业教育的收获</w:t>
      </w:r>
      <w:bookmarkEnd w:id="190"/>
    </w:p>
    <w:p>
      <w:pPr>
        <w:pStyle w:val="37"/>
        <w:ind w:firstLine="480"/>
      </w:pPr>
      <w:bookmarkStart w:id="191" w:name="PO_3417"/>
      <w:bookmarkEnd w:id="191"/>
      <w:r>
        <w:rPr>
          <w:rFonts w:hint="eastAsia"/>
        </w:rPr>
        <w:t>对于创业教育的收获，研究生认为最主要的收获是了解了相关创业政策（38.1%），其次是启发了我的创业意识（19.0%）、了解了什么是大学生创业（19.0%）；14.3%的人表示在接受创业教育后没有什么收获。</w:t>
      </w:r>
    </w:p>
    <w:p>
      <w:pPr>
        <w:jc w:val="center"/>
      </w:pPr>
      <w:r>
        <w:rPr>
          <w:rFonts w:hint="eastAsia"/>
        </w:rPr>
        <w:drawing>
          <wp:inline distT="0" distB="0" distL="0" distR="0">
            <wp:extent cx="6076950" cy="3077210"/>
            <wp:effectExtent l="19050" t="0" r="19050" b="8890"/>
            <wp:docPr id="1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59"/>
        <w:spacing w:before="156" w:after="312"/>
      </w:pPr>
      <w:r>
        <w:rPr>
          <w:rFonts w:hint="eastAsia"/>
        </w:rPr>
        <w:t>研究生创业教育的收获</w:t>
      </w:r>
    </w:p>
    <w:p>
      <w:pPr>
        <w:pStyle w:val="53"/>
        <w:spacing w:before="312" w:after="156"/>
      </w:pPr>
      <w:r>
        <w:rPr>
          <w:rFonts w:hint="eastAsia"/>
        </w:rPr>
        <w:t>研究生创业教育的收获</w:t>
      </w:r>
    </w:p>
    <w:tbl>
      <w:tblPr>
        <w:tblStyle w:val="33"/>
        <w:tblW w:w="353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52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52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了解了什么是大学生创业</w:t>
            </w:r>
          </w:p>
        </w:tc>
        <w:tc>
          <w:tcPr>
            <w:tcW w:w="426"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19.0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启发了我的创业意识</w:t>
            </w:r>
          </w:p>
        </w:tc>
        <w:tc>
          <w:tcPr>
            <w:tcW w:w="426" w:type="dxa"/>
            <w:shd w:val="clear" w:color="auto" w:fill="auto"/>
            <w:vAlign w:val="center"/>
          </w:tcPr>
          <w:p>
            <w:pPr>
              <w:pStyle w:val="52"/>
              <w:jc w:val="center"/>
              <w:rPr>
                <w:kern w:val="0"/>
              </w:rPr>
            </w:pPr>
            <w:r>
              <w:rPr>
                <w:kern w:val="0"/>
              </w:rPr>
              <w:t>8</w:t>
            </w:r>
          </w:p>
        </w:tc>
        <w:tc>
          <w:tcPr>
            <w:tcW w:w="584" w:type="dxa"/>
            <w:shd w:val="clear" w:color="auto" w:fill="auto"/>
            <w:vAlign w:val="center"/>
          </w:tcPr>
          <w:p>
            <w:pPr>
              <w:pStyle w:val="52"/>
              <w:jc w:val="center"/>
              <w:rPr>
                <w:kern w:val="0"/>
              </w:rPr>
            </w:pPr>
            <w:r>
              <w:rPr>
                <w:kern w:val="0"/>
              </w:rPr>
              <w:t>19.0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激发了我的创业热情</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明确了我的创业计划</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4.8</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526" w:type="dxa"/>
            <w:shd w:val="clear" w:color="auto" w:fill="auto"/>
            <w:vAlign w:val="center"/>
          </w:tcPr>
          <w:p>
            <w:pPr>
              <w:pStyle w:val="52"/>
              <w:rPr>
                <w:kern w:val="0"/>
              </w:rPr>
            </w:pPr>
            <w:r>
              <w:rPr>
                <w:rFonts w:hint="eastAsia"/>
                <w:kern w:val="0"/>
              </w:rPr>
              <w:t>了解了相关创业政策</w:t>
            </w:r>
          </w:p>
        </w:tc>
        <w:tc>
          <w:tcPr>
            <w:tcW w:w="426" w:type="dxa"/>
            <w:shd w:val="clear" w:color="auto" w:fill="auto"/>
            <w:vAlign w:val="center"/>
          </w:tcPr>
          <w:p>
            <w:pPr>
              <w:pStyle w:val="52"/>
              <w:jc w:val="center"/>
              <w:rPr>
                <w:kern w:val="0"/>
              </w:rPr>
            </w:pPr>
            <w:r>
              <w:rPr>
                <w:kern w:val="0"/>
              </w:rPr>
              <w:t>16</w:t>
            </w:r>
          </w:p>
        </w:tc>
        <w:tc>
          <w:tcPr>
            <w:tcW w:w="584" w:type="dxa"/>
            <w:shd w:val="clear" w:color="auto" w:fill="auto"/>
            <w:vAlign w:val="center"/>
          </w:tcPr>
          <w:p>
            <w:pPr>
              <w:pStyle w:val="52"/>
              <w:jc w:val="center"/>
              <w:rPr>
                <w:kern w:val="0"/>
              </w:rPr>
            </w:pPr>
            <w:r>
              <w:rPr>
                <w:kern w:val="0"/>
              </w:rPr>
              <w:t>38.1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526" w:type="dxa"/>
            <w:shd w:val="clear" w:color="auto" w:fill="auto"/>
            <w:vAlign w:val="center"/>
          </w:tcPr>
          <w:p>
            <w:pPr>
              <w:pStyle w:val="52"/>
              <w:rPr>
                <w:kern w:val="0"/>
              </w:rPr>
            </w:pPr>
            <w:r>
              <w:rPr>
                <w:rFonts w:hint="eastAsia"/>
                <w:kern w:val="0"/>
              </w:rPr>
              <w:t>没有任何收获</w:t>
            </w:r>
          </w:p>
        </w:tc>
        <w:tc>
          <w:tcPr>
            <w:tcW w:w="426" w:type="dxa"/>
            <w:shd w:val="clear" w:color="auto" w:fill="auto"/>
            <w:vAlign w:val="center"/>
          </w:tcPr>
          <w:p>
            <w:pPr>
              <w:pStyle w:val="52"/>
              <w:jc w:val="center"/>
              <w:rPr>
                <w:kern w:val="0"/>
              </w:rPr>
            </w:pPr>
            <w:r>
              <w:rPr>
                <w:kern w:val="0"/>
              </w:rPr>
              <w:t>6</w:t>
            </w:r>
          </w:p>
        </w:tc>
        <w:tc>
          <w:tcPr>
            <w:tcW w:w="584" w:type="dxa"/>
            <w:shd w:val="clear" w:color="auto" w:fill="auto"/>
            <w:vAlign w:val="center"/>
          </w:tcPr>
          <w:p>
            <w:pPr>
              <w:pStyle w:val="52"/>
              <w:jc w:val="center"/>
              <w:rPr>
                <w:kern w:val="0"/>
              </w:rPr>
            </w:pPr>
            <w:r>
              <w:rPr>
                <w:kern w:val="0"/>
              </w:rPr>
              <w:t>14.3</w:t>
            </w:r>
          </w:p>
        </w:tc>
      </w:tr>
    </w:tbl>
    <w:p>
      <w:pPr>
        <w:pStyle w:val="37"/>
        <w:ind w:firstLine="480"/>
      </w:pPr>
    </w:p>
    <w:p>
      <w:pPr>
        <w:pStyle w:val="44"/>
        <w:spacing w:before="156"/>
      </w:pPr>
      <w:bookmarkStart w:id="192" w:name="_Toc470167419"/>
      <w:r>
        <w:rPr>
          <w:rFonts w:hint="eastAsia"/>
        </w:rPr>
        <w:t>（二）研究生就业结果</w:t>
      </w:r>
      <w:bookmarkEnd w:id="192"/>
    </w:p>
    <w:p>
      <w:pPr>
        <w:pStyle w:val="67"/>
      </w:pPr>
      <w:bookmarkStart w:id="193" w:name="_Toc470167420"/>
      <w:r>
        <w:rPr>
          <w:rFonts w:hint="eastAsia"/>
        </w:rPr>
        <w:t>1、就业满意度</w:t>
      </w:r>
      <w:bookmarkEnd w:id="193"/>
    </w:p>
    <w:p>
      <w:pPr>
        <w:pStyle w:val="70"/>
      </w:pPr>
      <w:bookmarkStart w:id="194" w:name="PO_3426"/>
      <w:bookmarkEnd w:id="194"/>
      <w:r>
        <w:rPr>
          <w:rFonts w:hint="eastAsia"/>
        </w:rPr>
        <w:t>（1）总体情况</w:t>
      </w:r>
    </w:p>
    <w:p>
      <w:pPr>
        <w:pStyle w:val="37"/>
        <w:ind w:firstLine="480"/>
      </w:pPr>
      <w:r>
        <w:rPr>
          <w:rFonts w:hint="eastAsia"/>
        </w:rPr>
        <w:t>在就业满意度调查方面，89.3%的研究生表示“很满意”或“满意”，10.7%认为“不好说”。</w:t>
      </w:r>
    </w:p>
    <w:p>
      <w:pPr>
        <w:jc w:val="center"/>
      </w:pPr>
      <w:r>
        <w:rPr>
          <w:rFonts w:hint="eastAsia"/>
        </w:rPr>
        <w:drawing>
          <wp:inline distT="0" distB="0" distL="0" distR="0">
            <wp:extent cx="6076950" cy="3077210"/>
            <wp:effectExtent l="19050" t="0" r="19050" b="8890"/>
            <wp:docPr id="35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59"/>
        <w:spacing w:before="156" w:after="312"/>
      </w:pPr>
      <w:r>
        <w:rPr>
          <w:rFonts w:hint="eastAsia"/>
        </w:rPr>
        <w:t>研究生就业满意度</w:t>
      </w:r>
    </w:p>
    <w:p>
      <w:pPr>
        <w:pStyle w:val="70"/>
      </w:pPr>
      <w:r>
        <w:rPr>
          <w:rFonts w:hint="eastAsia"/>
        </w:rPr>
        <w:t>（2）不同专业研究生就业满意度</w:t>
      </w:r>
    </w:p>
    <w:p>
      <w:pPr>
        <w:pStyle w:val="37"/>
        <w:ind w:firstLine="480"/>
      </w:pPr>
      <w:r>
        <w:rPr>
          <w:rFonts w:hint="eastAsia"/>
        </w:rPr>
        <w:t>就专业而言，方差检验显示，不同专业的研究生对目前工作的满意度不存在显著性差异（F=0.19，p&gt;0.05）。</w:t>
      </w:r>
    </w:p>
    <w:p>
      <w:pPr>
        <w:jc w:val="center"/>
      </w:pPr>
      <w:r>
        <w:rPr>
          <w:rFonts w:hint="eastAsia"/>
        </w:rPr>
        <w:drawing>
          <wp:inline distT="0" distB="0" distL="0" distR="0">
            <wp:extent cx="6076950" cy="3695700"/>
            <wp:effectExtent l="0" t="0" r="0" b="0"/>
            <wp:docPr id="3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59"/>
        <w:spacing w:before="156" w:after="312"/>
      </w:pPr>
      <w:r>
        <w:rPr>
          <w:rFonts w:hint="eastAsia"/>
        </w:rPr>
        <w:t>不同专业研究生就业满意度</w:t>
      </w:r>
    </w:p>
    <w:p>
      <w:pPr>
        <w:pStyle w:val="53"/>
        <w:spacing w:before="312" w:after="156"/>
      </w:pPr>
      <w:r>
        <w:rPr>
          <w:rFonts w:hint="eastAsia"/>
        </w:rPr>
        <w:t>研究生就业满意度</w:t>
      </w:r>
    </w:p>
    <w:tbl>
      <w:tblPr>
        <w:tblStyle w:val="33"/>
        <w:tblW w:w="740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32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很满意</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满意</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4.27</w:t>
            </w:r>
          </w:p>
        </w:tc>
        <w:tc>
          <w:tcPr>
            <w:tcW w:w="846" w:type="dxa"/>
            <w:shd w:val="clear" w:color="auto" w:fill="auto"/>
            <w:vAlign w:val="center"/>
          </w:tcPr>
          <w:p>
            <w:pPr>
              <w:widowControl/>
              <w:jc w:val="center"/>
              <w:rPr>
                <w:color w:val="000000"/>
                <w:kern w:val="0"/>
                <w:szCs w:val="21"/>
              </w:rPr>
            </w:pPr>
            <w:r>
              <w:rPr>
                <w:color w:val="000000"/>
                <w:kern w:val="0"/>
                <w:szCs w:val="21"/>
              </w:rPr>
              <w:t>0.65</w:t>
            </w:r>
          </w:p>
        </w:tc>
        <w:tc>
          <w:tcPr>
            <w:tcW w:w="846" w:type="dxa"/>
            <w:vAlign w:val="center"/>
          </w:tcPr>
          <w:p>
            <w:pPr>
              <w:widowControl/>
              <w:jc w:val="center"/>
              <w:rPr>
                <w:color w:val="000000"/>
                <w:kern w:val="0"/>
                <w:szCs w:val="21"/>
              </w:rPr>
            </w:pPr>
            <w:r>
              <w:rPr>
                <w:color w:val="000000"/>
                <w:kern w:val="0"/>
                <w:szCs w:val="21"/>
              </w:rPr>
              <w:t>36.4</w:t>
            </w:r>
          </w:p>
        </w:tc>
        <w:tc>
          <w:tcPr>
            <w:tcW w:w="636" w:type="dxa"/>
            <w:vAlign w:val="center"/>
          </w:tcPr>
          <w:p>
            <w:pPr>
              <w:widowControl/>
              <w:jc w:val="center"/>
              <w:rPr>
                <w:color w:val="000000"/>
                <w:kern w:val="0"/>
                <w:szCs w:val="21"/>
              </w:rPr>
            </w:pPr>
            <w:r>
              <w:rPr>
                <w:color w:val="000000"/>
                <w:kern w:val="0"/>
                <w:szCs w:val="21"/>
              </w:rPr>
              <w:t>54.5</w:t>
            </w:r>
          </w:p>
        </w:tc>
        <w:tc>
          <w:tcPr>
            <w:tcW w:w="846" w:type="dxa"/>
            <w:vAlign w:val="center"/>
          </w:tcPr>
          <w:p>
            <w:pPr>
              <w:widowControl/>
              <w:jc w:val="center"/>
              <w:rPr>
                <w:color w:val="000000"/>
                <w:kern w:val="0"/>
                <w:szCs w:val="21"/>
              </w:rPr>
            </w:pPr>
            <w:r>
              <w:rPr>
                <w:color w:val="000000"/>
                <w:kern w:val="0"/>
                <w:szCs w:val="21"/>
              </w:rPr>
              <w:t>9.1</w:t>
            </w:r>
          </w:p>
        </w:tc>
        <w:tc>
          <w:tcPr>
            <w:tcW w:w="1056" w:type="dxa"/>
            <w:vMerge w:val="restart"/>
            <w:shd w:val="clear" w:color="auto" w:fill="auto"/>
            <w:vAlign w:val="center"/>
          </w:tcPr>
          <w:p>
            <w:pPr>
              <w:jc w:val="center"/>
              <w:rPr>
                <w:color w:val="000000"/>
                <w:kern w:val="0"/>
                <w:szCs w:val="21"/>
              </w:rPr>
            </w:pPr>
            <w:r>
              <w:rPr>
                <w:color w:val="000000"/>
                <w:kern w:val="0"/>
                <w:szCs w:val="21"/>
              </w:rPr>
              <w:t>F=0.19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4.20</w:t>
            </w:r>
          </w:p>
        </w:tc>
        <w:tc>
          <w:tcPr>
            <w:tcW w:w="846" w:type="dxa"/>
            <w:shd w:val="clear" w:color="auto" w:fill="auto"/>
            <w:vAlign w:val="center"/>
          </w:tcPr>
          <w:p>
            <w:pPr>
              <w:widowControl/>
              <w:jc w:val="center"/>
              <w:rPr>
                <w:color w:val="000000"/>
                <w:kern w:val="0"/>
                <w:szCs w:val="21"/>
              </w:rPr>
            </w:pPr>
            <w:r>
              <w:rPr>
                <w:color w:val="000000"/>
                <w:kern w:val="0"/>
                <w:szCs w:val="21"/>
              </w:rPr>
              <w:t>0.68</w:t>
            </w:r>
          </w:p>
        </w:tc>
        <w:tc>
          <w:tcPr>
            <w:tcW w:w="846" w:type="dxa"/>
            <w:vAlign w:val="center"/>
          </w:tcPr>
          <w:p>
            <w:pPr>
              <w:widowControl/>
              <w:jc w:val="center"/>
              <w:rPr>
                <w:color w:val="000000"/>
                <w:kern w:val="0"/>
                <w:szCs w:val="21"/>
              </w:rPr>
            </w:pPr>
            <w:r>
              <w:rPr>
                <w:color w:val="000000"/>
                <w:kern w:val="0"/>
                <w:szCs w:val="21"/>
              </w:rPr>
              <w:t>33.3</w:t>
            </w:r>
          </w:p>
        </w:tc>
        <w:tc>
          <w:tcPr>
            <w:tcW w:w="636" w:type="dxa"/>
            <w:vAlign w:val="center"/>
          </w:tcPr>
          <w:p>
            <w:pPr>
              <w:widowControl/>
              <w:jc w:val="center"/>
              <w:rPr>
                <w:color w:val="000000"/>
                <w:kern w:val="0"/>
                <w:szCs w:val="21"/>
              </w:rPr>
            </w:pPr>
            <w:r>
              <w:rPr>
                <w:color w:val="000000"/>
                <w:kern w:val="0"/>
                <w:szCs w:val="21"/>
              </w:rPr>
              <w:t>53.3</w:t>
            </w:r>
          </w:p>
        </w:tc>
        <w:tc>
          <w:tcPr>
            <w:tcW w:w="846" w:type="dxa"/>
            <w:vAlign w:val="center"/>
          </w:tcPr>
          <w:p>
            <w:pPr>
              <w:widowControl/>
              <w:jc w:val="center"/>
              <w:rPr>
                <w:color w:val="000000"/>
                <w:kern w:val="0"/>
                <w:szCs w:val="21"/>
              </w:rPr>
            </w:pPr>
            <w:r>
              <w:rPr>
                <w:color w:val="000000"/>
                <w:kern w:val="0"/>
                <w:szCs w:val="21"/>
              </w:rPr>
              <w:t>13.3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4.25</w:t>
            </w:r>
          </w:p>
        </w:tc>
        <w:tc>
          <w:tcPr>
            <w:tcW w:w="846" w:type="dxa"/>
            <w:shd w:val="clear" w:color="auto" w:fill="auto"/>
            <w:vAlign w:val="center"/>
          </w:tcPr>
          <w:p>
            <w:pPr>
              <w:widowControl/>
              <w:jc w:val="center"/>
              <w:rPr>
                <w:color w:val="000000"/>
                <w:kern w:val="0"/>
                <w:szCs w:val="21"/>
              </w:rPr>
            </w:pPr>
            <w:r>
              <w:rPr>
                <w:color w:val="000000"/>
                <w:kern w:val="0"/>
                <w:szCs w:val="21"/>
              </w:rPr>
              <w:t>0.65</w:t>
            </w:r>
          </w:p>
        </w:tc>
        <w:tc>
          <w:tcPr>
            <w:tcW w:w="846" w:type="dxa"/>
            <w:vAlign w:val="center"/>
          </w:tcPr>
          <w:p>
            <w:pPr>
              <w:widowControl/>
              <w:jc w:val="center"/>
              <w:rPr>
                <w:color w:val="000000"/>
                <w:kern w:val="0"/>
                <w:szCs w:val="21"/>
              </w:rPr>
            </w:pPr>
            <w:r>
              <w:rPr>
                <w:color w:val="000000"/>
                <w:kern w:val="0"/>
                <w:szCs w:val="21"/>
              </w:rPr>
              <w:t>35.7</w:t>
            </w:r>
          </w:p>
        </w:tc>
        <w:tc>
          <w:tcPr>
            <w:tcW w:w="636" w:type="dxa"/>
            <w:vAlign w:val="center"/>
          </w:tcPr>
          <w:p>
            <w:pPr>
              <w:widowControl/>
              <w:jc w:val="center"/>
              <w:rPr>
                <w:color w:val="000000"/>
                <w:kern w:val="0"/>
                <w:szCs w:val="21"/>
              </w:rPr>
            </w:pPr>
            <w:r>
              <w:rPr>
                <w:color w:val="000000"/>
                <w:kern w:val="0"/>
                <w:szCs w:val="21"/>
              </w:rPr>
              <w:t>53.6</w:t>
            </w:r>
          </w:p>
        </w:tc>
        <w:tc>
          <w:tcPr>
            <w:tcW w:w="846" w:type="dxa"/>
            <w:vAlign w:val="center"/>
          </w:tcPr>
          <w:p>
            <w:pPr>
              <w:widowControl/>
              <w:jc w:val="center"/>
              <w:rPr>
                <w:color w:val="000000"/>
                <w:kern w:val="0"/>
                <w:szCs w:val="21"/>
              </w:rPr>
            </w:pPr>
            <w:r>
              <w:rPr>
                <w:color w:val="000000"/>
                <w:kern w:val="0"/>
                <w:szCs w:val="21"/>
              </w:rPr>
              <w:t>10.7</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注：得分5=很满意，4=满意，3=不好说，2=不满意，1=很不满意</w:t>
      </w:r>
    </w:p>
    <w:p>
      <w:pPr>
        <w:pStyle w:val="37"/>
        <w:ind w:firstLine="480"/>
      </w:pPr>
    </w:p>
    <w:p>
      <w:pPr>
        <w:pStyle w:val="67"/>
      </w:pPr>
      <w:bookmarkStart w:id="195" w:name="_Toc470167421"/>
      <w:r>
        <w:rPr>
          <w:rFonts w:hint="eastAsia"/>
        </w:rPr>
        <w:t>2、就业地区</w:t>
      </w:r>
      <w:bookmarkEnd w:id="195"/>
    </w:p>
    <w:p>
      <w:pPr>
        <w:pStyle w:val="70"/>
      </w:pPr>
      <w:bookmarkStart w:id="196" w:name="PO_34211"/>
      <w:bookmarkEnd w:id="196"/>
      <w:r>
        <w:rPr>
          <w:rFonts w:hint="eastAsia"/>
        </w:rPr>
        <w:t>（1）总体情况</w:t>
      </w:r>
    </w:p>
    <w:p>
      <w:pPr>
        <w:pStyle w:val="37"/>
        <w:ind w:firstLine="480"/>
      </w:pPr>
      <w:r>
        <w:rPr>
          <w:rFonts w:hint="eastAsia"/>
        </w:rPr>
        <w:t>就不同就业地区而言，研究生期望首选和最终落实在京就业的比例均为92.9%；期望首选和最终落实在东部的比例均为3.6%；期望首选和最终落实在西部的比例均为3.6%。</w:t>
      </w:r>
    </w:p>
    <w:p>
      <w:pPr>
        <w:pStyle w:val="37"/>
        <w:ind w:firstLine="480"/>
      </w:pPr>
      <w:r>
        <w:rPr>
          <w:rFonts w:hint="eastAsia"/>
        </w:rPr>
        <w:t>同时，根据全国经济区的划分，研究生除北京地区外，研究生就业期望首选和最终落实的区域为东部沿海经济区（3.6%，3.6%），西南经济区（3.6%，3.6%）。</w:t>
      </w:r>
    </w:p>
    <w:p>
      <w:pPr>
        <w:pStyle w:val="53"/>
        <w:spacing w:before="312" w:after="156"/>
      </w:pPr>
      <w:r>
        <w:rPr>
          <w:rFonts w:hint="eastAsia"/>
        </w:rPr>
        <w:t>期望首选与最终落实就业地区（1）（%）</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北京就业</w:t>
            </w:r>
          </w:p>
        </w:tc>
        <w:tc>
          <w:tcPr>
            <w:tcW w:w="1134" w:type="dxa"/>
            <w:vAlign w:val="center"/>
          </w:tcPr>
          <w:p>
            <w:pPr>
              <w:widowControl/>
              <w:jc w:val="center"/>
              <w:rPr>
                <w:color w:val="000000"/>
                <w:kern w:val="0"/>
                <w:szCs w:val="21"/>
              </w:rPr>
            </w:pPr>
            <w:r>
              <w:rPr>
                <w:color w:val="000000"/>
                <w:kern w:val="0"/>
                <w:szCs w:val="21"/>
              </w:rPr>
              <w:t>92.9</w:t>
            </w:r>
          </w:p>
        </w:tc>
        <w:tc>
          <w:tcPr>
            <w:tcW w:w="1238" w:type="dxa"/>
            <w:vAlign w:val="center"/>
          </w:tcPr>
          <w:p>
            <w:pPr>
              <w:widowControl/>
              <w:jc w:val="center"/>
              <w:rPr>
                <w:color w:val="000000"/>
                <w:kern w:val="0"/>
                <w:szCs w:val="21"/>
              </w:rPr>
            </w:pPr>
            <w:r>
              <w:rPr>
                <w:color w:val="000000"/>
                <w:kern w:val="0"/>
                <w:szCs w:val="21"/>
              </w:rPr>
              <w:t>92.9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东部就业</w:t>
            </w:r>
          </w:p>
        </w:tc>
        <w:tc>
          <w:tcPr>
            <w:tcW w:w="1134" w:type="dxa"/>
            <w:vAlign w:val="center"/>
          </w:tcPr>
          <w:p>
            <w:pPr>
              <w:widowControl/>
              <w:jc w:val="center"/>
              <w:rPr>
                <w:color w:val="000000"/>
                <w:kern w:val="0"/>
                <w:szCs w:val="21"/>
              </w:rPr>
            </w:pPr>
            <w:r>
              <w:rPr>
                <w:color w:val="000000"/>
                <w:kern w:val="0"/>
                <w:szCs w:val="21"/>
              </w:rPr>
              <w:t>3.6</w:t>
            </w:r>
          </w:p>
        </w:tc>
        <w:tc>
          <w:tcPr>
            <w:tcW w:w="1238" w:type="dxa"/>
            <w:vAlign w:val="center"/>
          </w:tcPr>
          <w:p>
            <w:pPr>
              <w:widowControl/>
              <w:jc w:val="center"/>
              <w:rPr>
                <w:color w:val="000000"/>
                <w:kern w:val="0"/>
                <w:szCs w:val="21"/>
              </w:rPr>
            </w:pPr>
            <w:r>
              <w:rPr>
                <w:color w:val="000000"/>
                <w:kern w:val="0"/>
                <w:szCs w:val="21"/>
              </w:rPr>
              <w:t>3.6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中部就业</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西部就业</w:t>
            </w:r>
          </w:p>
        </w:tc>
        <w:tc>
          <w:tcPr>
            <w:tcW w:w="1134" w:type="dxa"/>
            <w:vAlign w:val="center"/>
          </w:tcPr>
          <w:p>
            <w:pPr>
              <w:widowControl/>
              <w:jc w:val="center"/>
              <w:rPr>
                <w:color w:val="000000"/>
                <w:kern w:val="0"/>
                <w:szCs w:val="21"/>
              </w:rPr>
            </w:pPr>
            <w:r>
              <w:rPr>
                <w:color w:val="000000"/>
                <w:kern w:val="0"/>
                <w:szCs w:val="21"/>
              </w:rPr>
              <w:t>3.6</w:t>
            </w:r>
          </w:p>
        </w:tc>
        <w:tc>
          <w:tcPr>
            <w:tcW w:w="1238" w:type="dxa"/>
            <w:vAlign w:val="center"/>
          </w:tcPr>
          <w:p>
            <w:pPr>
              <w:widowControl/>
              <w:jc w:val="center"/>
              <w:rPr>
                <w:color w:val="000000"/>
                <w:kern w:val="0"/>
                <w:szCs w:val="21"/>
              </w:rPr>
            </w:pPr>
            <w:r>
              <w:rPr>
                <w:color w:val="000000"/>
                <w:kern w:val="0"/>
                <w:szCs w:val="21"/>
              </w:rPr>
              <w:t>3.6</w:t>
            </w:r>
          </w:p>
        </w:tc>
      </w:tr>
    </w:tbl>
    <w:p>
      <w:pPr>
        <w:pStyle w:val="53"/>
        <w:spacing w:before="312" w:after="156"/>
      </w:pPr>
      <w:r>
        <w:rPr>
          <w:rFonts w:hint="eastAsia"/>
        </w:rPr>
        <w:t>期望首选与最终落实就业地区（2）（%）</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北京地区</w:t>
            </w:r>
          </w:p>
        </w:tc>
        <w:tc>
          <w:tcPr>
            <w:tcW w:w="1134" w:type="dxa"/>
            <w:vAlign w:val="center"/>
          </w:tcPr>
          <w:p>
            <w:pPr>
              <w:widowControl/>
              <w:jc w:val="center"/>
              <w:rPr>
                <w:color w:val="000000"/>
                <w:kern w:val="0"/>
                <w:szCs w:val="21"/>
              </w:rPr>
            </w:pPr>
            <w:r>
              <w:rPr>
                <w:color w:val="000000"/>
                <w:kern w:val="0"/>
                <w:szCs w:val="21"/>
              </w:rPr>
              <w:t>92.9</w:t>
            </w:r>
          </w:p>
        </w:tc>
        <w:tc>
          <w:tcPr>
            <w:tcW w:w="1238" w:type="dxa"/>
            <w:vAlign w:val="center"/>
          </w:tcPr>
          <w:p>
            <w:pPr>
              <w:widowControl/>
              <w:jc w:val="center"/>
              <w:rPr>
                <w:color w:val="000000"/>
                <w:kern w:val="0"/>
                <w:szCs w:val="21"/>
              </w:rPr>
            </w:pPr>
            <w:r>
              <w:rPr>
                <w:color w:val="000000"/>
                <w:kern w:val="0"/>
                <w:szCs w:val="21"/>
              </w:rPr>
              <w:t>92.9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东北经济区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北部沿海经济区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东部沿海经济区</w:t>
            </w:r>
          </w:p>
        </w:tc>
        <w:tc>
          <w:tcPr>
            <w:tcW w:w="1134" w:type="dxa"/>
            <w:vAlign w:val="center"/>
          </w:tcPr>
          <w:p>
            <w:pPr>
              <w:widowControl/>
              <w:jc w:val="center"/>
              <w:rPr>
                <w:color w:val="000000"/>
                <w:kern w:val="0"/>
                <w:szCs w:val="21"/>
              </w:rPr>
            </w:pPr>
            <w:r>
              <w:rPr>
                <w:color w:val="000000"/>
                <w:kern w:val="0"/>
                <w:szCs w:val="21"/>
              </w:rPr>
              <w:t>3.6</w:t>
            </w:r>
          </w:p>
        </w:tc>
        <w:tc>
          <w:tcPr>
            <w:tcW w:w="1238" w:type="dxa"/>
            <w:vAlign w:val="center"/>
          </w:tcPr>
          <w:p>
            <w:pPr>
              <w:widowControl/>
              <w:jc w:val="center"/>
              <w:rPr>
                <w:color w:val="000000"/>
                <w:kern w:val="0"/>
                <w:szCs w:val="21"/>
              </w:rPr>
            </w:pPr>
            <w:r>
              <w:rPr>
                <w:color w:val="000000"/>
                <w:kern w:val="0"/>
                <w:szCs w:val="21"/>
              </w:rPr>
              <w:t>3.6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南部沿海经济区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黄河中游经济区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长江中游经济区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西南经济区</w:t>
            </w:r>
          </w:p>
        </w:tc>
        <w:tc>
          <w:tcPr>
            <w:tcW w:w="1134" w:type="dxa"/>
            <w:vAlign w:val="center"/>
          </w:tcPr>
          <w:p>
            <w:pPr>
              <w:widowControl/>
              <w:jc w:val="center"/>
              <w:rPr>
                <w:color w:val="000000"/>
                <w:kern w:val="0"/>
                <w:szCs w:val="21"/>
              </w:rPr>
            </w:pPr>
            <w:r>
              <w:rPr>
                <w:color w:val="000000"/>
                <w:kern w:val="0"/>
                <w:szCs w:val="21"/>
              </w:rPr>
              <w:t>3.6</w:t>
            </w:r>
          </w:p>
        </w:tc>
        <w:tc>
          <w:tcPr>
            <w:tcW w:w="1238" w:type="dxa"/>
            <w:vAlign w:val="center"/>
          </w:tcPr>
          <w:p>
            <w:pPr>
              <w:widowControl/>
              <w:jc w:val="center"/>
              <w:rPr>
                <w:color w:val="000000"/>
                <w:kern w:val="0"/>
                <w:szCs w:val="21"/>
              </w:rPr>
            </w:pPr>
            <w:r>
              <w:rPr>
                <w:color w:val="000000"/>
                <w:kern w:val="0"/>
                <w:szCs w:val="21"/>
              </w:rPr>
              <w:t>3.6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西北经济区</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bl>
    <w:p/>
    <w:p>
      <w:pPr>
        <w:pStyle w:val="70"/>
      </w:pPr>
      <w:r>
        <w:rPr>
          <w:rFonts w:hint="eastAsia"/>
        </w:rPr>
        <w:t>（2）不同生源地研究生就业地区</w:t>
      </w:r>
    </w:p>
    <w:p>
      <w:pPr>
        <w:pStyle w:val="37"/>
        <w:ind w:firstLine="480"/>
      </w:pPr>
      <w:r>
        <w:rPr>
          <w:rFonts w:hint="eastAsia"/>
        </w:rPr>
        <w:t>就不同生源地区而言，北京生源的研究生期望和最终落实在京就业的比例均为100.0%；京外生源的研究生期望和最终落实在京就业的比例均为90.5%。</w:t>
      </w:r>
    </w:p>
    <w:p>
      <w:pPr>
        <w:pStyle w:val="53"/>
        <w:spacing w:before="312" w:after="156"/>
      </w:pPr>
      <w:r>
        <w:rPr>
          <w:rFonts w:hint="eastAsia"/>
        </w:rPr>
        <w:t>不同生源地区研究生期望首选与最终落实就业地区（1）</w:t>
      </w:r>
    </w:p>
    <w:tbl>
      <w:tblPr>
        <w:tblStyle w:val="33"/>
        <w:tblW w:w="676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056"/>
        <w:gridCol w:w="426"/>
        <w:gridCol w:w="105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05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224" w:type="dxa"/>
            <w:gridSpan w:val="4"/>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05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北京就业</w:t>
            </w:r>
          </w:p>
        </w:tc>
        <w:tc>
          <w:tcPr>
            <w:tcW w:w="1056" w:type="dxa"/>
            <w:vAlign w:val="center"/>
          </w:tcPr>
          <w:p>
            <w:pPr>
              <w:pStyle w:val="52"/>
              <w:jc w:val="center"/>
              <w:rPr>
                <w:szCs w:val="21"/>
              </w:rPr>
            </w:pPr>
            <w:r>
              <w:rPr>
                <w:rFonts w:hint="eastAsia"/>
                <w:szCs w:val="21"/>
              </w:rPr>
              <w:t>东部就业</w:t>
            </w:r>
          </w:p>
        </w:tc>
        <w:tc>
          <w:tcPr>
            <w:tcW w:w="1056" w:type="dxa"/>
            <w:vAlign w:val="center"/>
          </w:tcPr>
          <w:p>
            <w:pPr>
              <w:pStyle w:val="52"/>
              <w:jc w:val="center"/>
              <w:rPr>
                <w:szCs w:val="21"/>
              </w:rPr>
            </w:pPr>
            <w:r>
              <w:rPr>
                <w:rFonts w:hint="eastAsia"/>
                <w:szCs w:val="21"/>
              </w:rPr>
              <w:t>中部就业</w:t>
            </w:r>
          </w:p>
        </w:tc>
        <w:tc>
          <w:tcPr>
            <w:tcW w:w="1056" w:type="dxa"/>
            <w:shd w:val="clear" w:color="auto" w:fill="auto"/>
            <w:vAlign w:val="center"/>
          </w:tcPr>
          <w:p>
            <w:pPr>
              <w:pStyle w:val="52"/>
              <w:jc w:val="center"/>
              <w:rPr>
                <w:szCs w:val="20"/>
              </w:rPr>
            </w:pPr>
            <w:r>
              <w:rPr>
                <w:rFonts w:hint="eastAsia"/>
                <w:szCs w:val="21"/>
              </w:rPr>
              <w:t>西部就业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056" w:type="dxa"/>
            <w:shd w:val="clear" w:color="auto" w:fill="auto"/>
            <w:vAlign w:val="center"/>
          </w:tcPr>
          <w:p>
            <w:pPr>
              <w:pStyle w:val="52"/>
              <w:rPr>
                <w:szCs w:val="20"/>
              </w:rPr>
            </w:pPr>
            <w:r>
              <w:rPr>
                <w:rFonts w:hint="eastAsia"/>
                <w:szCs w:val="21"/>
              </w:rPr>
              <w:t>北京生源</w:t>
            </w:r>
          </w:p>
        </w:tc>
        <w:tc>
          <w:tcPr>
            <w:tcW w:w="426" w:type="dxa"/>
            <w:shd w:val="clear" w:color="auto" w:fill="auto"/>
            <w:vAlign w:val="center"/>
          </w:tcPr>
          <w:p>
            <w:pPr>
              <w:pStyle w:val="52"/>
              <w:jc w:val="center"/>
              <w:rPr>
                <w:szCs w:val="20"/>
              </w:rPr>
            </w:pPr>
            <w:r>
              <w:rPr>
                <w:szCs w:val="21"/>
              </w:rPr>
              <w:t>7</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21</w:t>
            </w:r>
          </w:p>
        </w:tc>
        <w:tc>
          <w:tcPr>
            <w:tcW w:w="1056" w:type="dxa"/>
            <w:vAlign w:val="center"/>
          </w:tcPr>
          <w:p>
            <w:pPr>
              <w:pStyle w:val="52"/>
              <w:jc w:val="center"/>
              <w:rPr>
                <w:szCs w:val="21"/>
              </w:rPr>
            </w:pPr>
            <w:r>
              <w:rPr>
                <w:szCs w:val="21"/>
              </w:rPr>
              <w:t>90.5</w:t>
            </w:r>
          </w:p>
        </w:tc>
        <w:tc>
          <w:tcPr>
            <w:tcW w:w="1056" w:type="dxa"/>
            <w:vAlign w:val="center"/>
          </w:tcPr>
          <w:p>
            <w:pPr>
              <w:pStyle w:val="52"/>
              <w:jc w:val="center"/>
              <w:rPr>
                <w:szCs w:val="21"/>
              </w:rPr>
            </w:pPr>
            <w:r>
              <w:rPr>
                <w:szCs w:val="21"/>
              </w:rPr>
              <w:t>4.8</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4.8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056" w:type="dxa"/>
            <w:shd w:val="clear" w:color="auto" w:fill="auto"/>
            <w:vAlign w:val="center"/>
          </w:tcPr>
          <w:p>
            <w:pPr>
              <w:pStyle w:val="52"/>
              <w:rPr>
                <w:szCs w:val="21"/>
              </w:rPr>
            </w:pPr>
            <w:r>
              <w:rPr>
                <w:rFonts w:hint="eastAsia"/>
                <w:szCs w:val="21"/>
              </w:rPr>
              <w:t>北京生源</w:t>
            </w:r>
          </w:p>
        </w:tc>
        <w:tc>
          <w:tcPr>
            <w:tcW w:w="426" w:type="dxa"/>
            <w:shd w:val="clear" w:color="auto" w:fill="auto"/>
            <w:vAlign w:val="center"/>
          </w:tcPr>
          <w:p>
            <w:pPr>
              <w:pStyle w:val="52"/>
              <w:jc w:val="center"/>
              <w:rPr>
                <w:szCs w:val="21"/>
              </w:rPr>
            </w:pPr>
            <w:r>
              <w:rPr>
                <w:szCs w:val="21"/>
              </w:rPr>
              <w:t>7</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continue"/>
            <w:vAlign w:val="center"/>
          </w:tcPr>
          <w:p>
            <w:pPr>
              <w:pStyle w:val="52"/>
              <w:rPr>
                <w:szCs w:val="20"/>
              </w:rPr>
            </w:pPr>
          </w:p>
        </w:tc>
        <w:tc>
          <w:tcPr>
            <w:tcW w:w="1056"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21</w:t>
            </w:r>
          </w:p>
        </w:tc>
        <w:tc>
          <w:tcPr>
            <w:tcW w:w="1056" w:type="dxa"/>
            <w:vAlign w:val="center"/>
          </w:tcPr>
          <w:p>
            <w:pPr>
              <w:pStyle w:val="52"/>
              <w:jc w:val="center"/>
              <w:rPr>
                <w:szCs w:val="21"/>
              </w:rPr>
            </w:pPr>
            <w:r>
              <w:rPr>
                <w:szCs w:val="21"/>
              </w:rPr>
              <w:t>90.5</w:t>
            </w:r>
          </w:p>
        </w:tc>
        <w:tc>
          <w:tcPr>
            <w:tcW w:w="1056" w:type="dxa"/>
            <w:vAlign w:val="center"/>
          </w:tcPr>
          <w:p>
            <w:pPr>
              <w:pStyle w:val="52"/>
              <w:jc w:val="center"/>
              <w:rPr>
                <w:szCs w:val="21"/>
              </w:rPr>
            </w:pPr>
            <w:r>
              <w:rPr>
                <w:szCs w:val="21"/>
              </w:rPr>
              <w:t>4.8</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4.8</w:t>
            </w:r>
          </w:p>
        </w:tc>
      </w:tr>
    </w:tbl>
    <w:p>
      <w:pPr>
        <w:pStyle w:val="37"/>
        <w:ind w:firstLine="480"/>
      </w:pPr>
    </w:p>
    <w:p>
      <w:pPr>
        <w:pStyle w:val="53"/>
        <w:spacing w:before="312" w:after="156"/>
      </w:pPr>
      <w:r>
        <w:rPr>
          <w:rFonts w:hint="eastAsia"/>
        </w:rPr>
        <w:t>不同生源地区研究生期望首选与最终落实就业地区（2）</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94"/>
        <w:gridCol w:w="1133"/>
        <w:gridCol w:w="426"/>
        <w:gridCol w:w="818"/>
        <w:gridCol w:w="756"/>
        <w:gridCol w:w="903"/>
        <w:gridCol w:w="903"/>
        <w:gridCol w:w="903"/>
        <w:gridCol w:w="903"/>
        <w:gridCol w:w="903"/>
        <w:gridCol w:w="756"/>
        <w:gridCol w:w="7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94" w:type="dxa"/>
            <w:vMerge w:val="restart"/>
            <w:tcBorders>
              <w:right w:val="dotted" w:color="00B050" w:sz="8" w:space="0"/>
            </w:tcBorders>
            <w:shd w:val="clear" w:color="auto" w:fill="auto"/>
            <w:vAlign w:val="center"/>
          </w:tcPr>
          <w:p>
            <w:pPr>
              <w:pStyle w:val="52"/>
              <w:ind w:firstLine="480"/>
              <w:jc w:val="center"/>
              <w:rPr>
                <w:szCs w:val="20"/>
              </w:rPr>
            </w:pPr>
          </w:p>
        </w:tc>
        <w:tc>
          <w:tcPr>
            <w:tcW w:w="1133"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生源地区</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7601" w:type="dxa"/>
            <w:gridSpan w:val="9"/>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94" w:type="dxa"/>
            <w:vMerge w:val="continue"/>
            <w:tcBorders>
              <w:right w:val="dotted" w:color="00B050" w:sz="8" w:space="0"/>
            </w:tcBorders>
            <w:shd w:val="clear" w:color="auto" w:fill="auto"/>
            <w:vAlign w:val="center"/>
          </w:tcPr>
          <w:p>
            <w:pPr>
              <w:pStyle w:val="52"/>
              <w:jc w:val="center"/>
              <w:rPr>
                <w:szCs w:val="20"/>
              </w:rPr>
            </w:pPr>
          </w:p>
        </w:tc>
        <w:tc>
          <w:tcPr>
            <w:tcW w:w="1133"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818" w:type="dxa"/>
            <w:vAlign w:val="center"/>
          </w:tcPr>
          <w:p>
            <w:pPr>
              <w:pStyle w:val="52"/>
              <w:jc w:val="center"/>
              <w:rPr>
                <w:szCs w:val="21"/>
              </w:rPr>
            </w:pPr>
            <w:r>
              <w:rPr>
                <w:rFonts w:hint="eastAsia"/>
                <w:szCs w:val="21"/>
              </w:rPr>
              <w:t>北京地区</w:t>
            </w:r>
          </w:p>
        </w:tc>
        <w:tc>
          <w:tcPr>
            <w:tcW w:w="756" w:type="dxa"/>
            <w:vAlign w:val="center"/>
          </w:tcPr>
          <w:p>
            <w:pPr>
              <w:pStyle w:val="52"/>
              <w:jc w:val="center"/>
              <w:rPr>
                <w:szCs w:val="21"/>
              </w:rPr>
            </w:pPr>
            <w:r>
              <w:rPr>
                <w:rFonts w:hint="eastAsia"/>
                <w:szCs w:val="21"/>
              </w:rPr>
              <w:t>东北经济区</w:t>
            </w:r>
          </w:p>
        </w:tc>
        <w:tc>
          <w:tcPr>
            <w:tcW w:w="903" w:type="dxa"/>
            <w:vAlign w:val="center"/>
          </w:tcPr>
          <w:p>
            <w:pPr>
              <w:pStyle w:val="52"/>
              <w:jc w:val="center"/>
              <w:rPr>
                <w:szCs w:val="21"/>
              </w:rPr>
            </w:pPr>
            <w:r>
              <w:rPr>
                <w:rFonts w:hint="eastAsia"/>
                <w:szCs w:val="21"/>
              </w:rPr>
              <w:t>北部沿海经济区</w:t>
            </w:r>
          </w:p>
        </w:tc>
        <w:tc>
          <w:tcPr>
            <w:tcW w:w="903" w:type="dxa"/>
            <w:vAlign w:val="center"/>
          </w:tcPr>
          <w:p>
            <w:pPr>
              <w:pStyle w:val="52"/>
              <w:jc w:val="center"/>
              <w:rPr>
                <w:szCs w:val="21"/>
              </w:rPr>
            </w:pPr>
            <w:r>
              <w:rPr>
                <w:rFonts w:hint="eastAsia"/>
                <w:szCs w:val="21"/>
              </w:rPr>
              <w:t>东部沿海经济区</w:t>
            </w:r>
          </w:p>
        </w:tc>
        <w:tc>
          <w:tcPr>
            <w:tcW w:w="903" w:type="dxa"/>
            <w:vAlign w:val="center"/>
          </w:tcPr>
          <w:p>
            <w:pPr>
              <w:pStyle w:val="52"/>
              <w:jc w:val="center"/>
              <w:rPr>
                <w:szCs w:val="21"/>
              </w:rPr>
            </w:pPr>
            <w:r>
              <w:rPr>
                <w:rFonts w:hint="eastAsia"/>
                <w:szCs w:val="21"/>
              </w:rPr>
              <w:t>南部沿海经济区</w:t>
            </w:r>
          </w:p>
        </w:tc>
        <w:tc>
          <w:tcPr>
            <w:tcW w:w="903" w:type="dxa"/>
            <w:vAlign w:val="center"/>
          </w:tcPr>
          <w:p>
            <w:pPr>
              <w:pStyle w:val="52"/>
              <w:jc w:val="center"/>
              <w:rPr>
                <w:szCs w:val="21"/>
              </w:rPr>
            </w:pPr>
            <w:r>
              <w:rPr>
                <w:rFonts w:hint="eastAsia"/>
                <w:szCs w:val="21"/>
              </w:rPr>
              <w:t>黄河中游经济区</w:t>
            </w:r>
          </w:p>
        </w:tc>
        <w:tc>
          <w:tcPr>
            <w:tcW w:w="903" w:type="dxa"/>
            <w:vAlign w:val="center"/>
          </w:tcPr>
          <w:p>
            <w:pPr>
              <w:pStyle w:val="52"/>
              <w:jc w:val="center"/>
              <w:rPr>
                <w:szCs w:val="21"/>
              </w:rPr>
            </w:pPr>
            <w:r>
              <w:rPr>
                <w:rFonts w:hint="eastAsia"/>
                <w:szCs w:val="21"/>
              </w:rPr>
              <w:t>长江中游经济区</w:t>
            </w:r>
          </w:p>
        </w:tc>
        <w:tc>
          <w:tcPr>
            <w:tcW w:w="756" w:type="dxa"/>
            <w:vAlign w:val="center"/>
          </w:tcPr>
          <w:p>
            <w:pPr>
              <w:pStyle w:val="52"/>
              <w:jc w:val="center"/>
              <w:rPr>
                <w:szCs w:val="21"/>
              </w:rPr>
            </w:pPr>
            <w:r>
              <w:rPr>
                <w:rFonts w:hint="eastAsia"/>
                <w:szCs w:val="21"/>
              </w:rPr>
              <w:t>西南经济区</w:t>
            </w:r>
          </w:p>
        </w:tc>
        <w:tc>
          <w:tcPr>
            <w:tcW w:w="756" w:type="dxa"/>
            <w:shd w:val="clear" w:color="auto" w:fill="auto"/>
            <w:vAlign w:val="center"/>
          </w:tcPr>
          <w:p>
            <w:pPr>
              <w:pStyle w:val="52"/>
              <w:jc w:val="center"/>
              <w:rPr>
                <w:szCs w:val="20"/>
              </w:rPr>
            </w:pPr>
            <w:r>
              <w:rPr>
                <w:rFonts w:hint="eastAsia"/>
                <w:szCs w:val="21"/>
              </w:rPr>
              <w:t>西北经济区</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94" w:type="dxa"/>
            <w:vMerge w:val="restart"/>
            <w:vAlign w:val="center"/>
          </w:tcPr>
          <w:p>
            <w:pPr>
              <w:pStyle w:val="52"/>
              <w:rPr>
                <w:szCs w:val="20"/>
              </w:rPr>
            </w:pPr>
            <w:r>
              <w:rPr>
                <w:rFonts w:hint="eastAsia"/>
                <w:szCs w:val="20"/>
              </w:rPr>
              <w:t>期望首选</w:t>
            </w:r>
          </w:p>
        </w:tc>
        <w:tc>
          <w:tcPr>
            <w:tcW w:w="1133" w:type="dxa"/>
            <w:shd w:val="clear" w:color="auto" w:fill="auto"/>
            <w:vAlign w:val="center"/>
          </w:tcPr>
          <w:p>
            <w:pPr>
              <w:pStyle w:val="52"/>
              <w:rPr>
                <w:szCs w:val="20"/>
              </w:rPr>
            </w:pPr>
            <w:r>
              <w:rPr>
                <w:rFonts w:hint="eastAsia"/>
                <w:szCs w:val="21"/>
              </w:rPr>
              <w:t>北京生源</w:t>
            </w:r>
          </w:p>
        </w:tc>
        <w:tc>
          <w:tcPr>
            <w:tcW w:w="426" w:type="dxa"/>
            <w:shd w:val="clear" w:color="auto" w:fill="auto"/>
            <w:vAlign w:val="center"/>
          </w:tcPr>
          <w:p>
            <w:pPr>
              <w:pStyle w:val="52"/>
              <w:jc w:val="center"/>
              <w:rPr>
                <w:szCs w:val="20"/>
              </w:rPr>
            </w:pPr>
            <w:r>
              <w:rPr>
                <w:szCs w:val="21"/>
              </w:rPr>
              <w:t>7</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94" w:type="dxa"/>
            <w:vMerge w:val="continue"/>
            <w:vAlign w:val="center"/>
          </w:tcPr>
          <w:p>
            <w:pPr>
              <w:pStyle w:val="52"/>
              <w:rPr>
                <w:szCs w:val="20"/>
              </w:rPr>
            </w:pPr>
          </w:p>
        </w:tc>
        <w:tc>
          <w:tcPr>
            <w:tcW w:w="1133"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21</w:t>
            </w:r>
          </w:p>
        </w:tc>
        <w:tc>
          <w:tcPr>
            <w:tcW w:w="818" w:type="dxa"/>
            <w:vAlign w:val="center"/>
          </w:tcPr>
          <w:p>
            <w:pPr>
              <w:pStyle w:val="52"/>
              <w:jc w:val="center"/>
              <w:rPr>
                <w:szCs w:val="21"/>
              </w:rPr>
            </w:pPr>
            <w:r>
              <w:rPr>
                <w:szCs w:val="21"/>
              </w:rPr>
              <w:t>90.5</w:t>
            </w:r>
          </w:p>
        </w:tc>
        <w:tc>
          <w:tcPr>
            <w:tcW w:w="756"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4.8</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4.8</w:t>
            </w:r>
          </w:p>
        </w:tc>
        <w:tc>
          <w:tcPr>
            <w:tcW w:w="7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94" w:type="dxa"/>
            <w:vMerge w:val="restart"/>
            <w:vAlign w:val="center"/>
          </w:tcPr>
          <w:p>
            <w:pPr>
              <w:pStyle w:val="52"/>
              <w:rPr>
                <w:szCs w:val="20"/>
              </w:rPr>
            </w:pPr>
            <w:r>
              <w:rPr>
                <w:rFonts w:hint="eastAsia"/>
                <w:szCs w:val="20"/>
              </w:rPr>
              <w:t>最终落实</w:t>
            </w:r>
          </w:p>
        </w:tc>
        <w:tc>
          <w:tcPr>
            <w:tcW w:w="1133" w:type="dxa"/>
            <w:shd w:val="clear" w:color="auto" w:fill="auto"/>
            <w:vAlign w:val="center"/>
          </w:tcPr>
          <w:p>
            <w:pPr>
              <w:pStyle w:val="52"/>
              <w:rPr>
                <w:szCs w:val="21"/>
              </w:rPr>
            </w:pPr>
            <w:r>
              <w:rPr>
                <w:rFonts w:hint="eastAsia"/>
                <w:szCs w:val="21"/>
              </w:rPr>
              <w:t>北京生源</w:t>
            </w:r>
          </w:p>
        </w:tc>
        <w:tc>
          <w:tcPr>
            <w:tcW w:w="426" w:type="dxa"/>
            <w:shd w:val="clear" w:color="auto" w:fill="auto"/>
            <w:vAlign w:val="center"/>
          </w:tcPr>
          <w:p>
            <w:pPr>
              <w:pStyle w:val="52"/>
              <w:jc w:val="center"/>
              <w:rPr>
                <w:szCs w:val="21"/>
              </w:rPr>
            </w:pPr>
            <w:r>
              <w:rPr>
                <w:szCs w:val="21"/>
              </w:rPr>
              <w:t>7</w:t>
            </w:r>
          </w:p>
        </w:tc>
        <w:tc>
          <w:tcPr>
            <w:tcW w:w="818" w:type="dxa"/>
            <w:vAlign w:val="center"/>
          </w:tcPr>
          <w:p>
            <w:pPr>
              <w:pStyle w:val="52"/>
              <w:jc w:val="center"/>
              <w:rPr>
                <w:szCs w:val="21"/>
              </w:rPr>
            </w:pPr>
            <w:r>
              <w:rPr>
                <w:szCs w:val="21"/>
              </w:rPr>
              <w:t>100.0</w:t>
            </w:r>
          </w:p>
        </w:tc>
        <w:tc>
          <w:tcPr>
            <w:tcW w:w="756"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0.0</w:t>
            </w:r>
          </w:p>
        </w:tc>
        <w:tc>
          <w:tcPr>
            <w:tcW w:w="7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94" w:type="dxa"/>
            <w:vMerge w:val="continue"/>
            <w:vAlign w:val="center"/>
          </w:tcPr>
          <w:p>
            <w:pPr>
              <w:pStyle w:val="52"/>
              <w:rPr>
                <w:szCs w:val="20"/>
              </w:rPr>
            </w:pPr>
          </w:p>
        </w:tc>
        <w:tc>
          <w:tcPr>
            <w:tcW w:w="1133" w:type="dxa"/>
            <w:shd w:val="clear" w:color="auto" w:fill="auto"/>
            <w:vAlign w:val="center"/>
          </w:tcPr>
          <w:p>
            <w:pPr>
              <w:pStyle w:val="52"/>
              <w:rPr>
                <w:szCs w:val="21"/>
              </w:rPr>
            </w:pPr>
            <w:r>
              <w:rPr>
                <w:rFonts w:hint="eastAsia"/>
                <w:szCs w:val="21"/>
              </w:rPr>
              <w:t>京外生源</w:t>
            </w:r>
          </w:p>
        </w:tc>
        <w:tc>
          <w:tcPr>
            <w:tcW w:w="426" w:type="dxa"/>
            <w:shd w:val="clear" w:color="auto" w:fill="auto"/>
            <w:vAlign w:val="center"/>
          </w:tcPr>
          <w:p>
            <w:pPr>
              <w:pStyle w:val="52"/>
              <w:jc w:val="center"/>
              <w:rPr>
                <w:szCs w:val="21"/>
              </w:rPr>
            </w:pPr>
            <w:r>
              <w:rPr>
                <w:szCs w:val="21"/>
              </w:rPr>
              <w:t>21</w:t>
            </w:r>
          </w:p>
        </w:tc>
        <w:tc>
          <w:tcPr>
            <w:tcW w:w="818" w:type="dxa"/>
            <w:vAlign w:val="center"/>
          </w:tcPr>
          <w:p>
            <w:pPr>
              <w:pStyle w:val="52"/>
              <w:jc w:val="center"/>
              <w:rPr>
                <w:szCs w:val="21"/>
              </w:rPr>
            </w:pPr>
            <w:r>
              <w:rPr>
                <w:szCs w:val="21"/>
              </w:rPr>
              <w:t>90.5</w:t>
            </w:r>
          </w:p>
        </w:tc>
        <w:tc>
          <w:tcPr>
            <w:tcW w:w="756"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4.8</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903" w:type="dxa"/>
            <w:vAlign w:val="center"/>
          </w:tcPr>
          <w:p>
            <w:pPr>
              <w:pStyle w:val="52"/>
              <w:jc w:val="center"/>
              <w:rPr>
                <w:szCs w:val="21"/>
              </w:rPr>
            </w:pPr>
            <w:r>
              <w:rPr>
                <w:szCs w:val="21"/>
              </w:rPr>
              <w:t>0.0</w:t>
            </w:r>
          </w:p>
        </w:tc>
        <w:tc>
          <w:tcPr>
            <w:tcW w:w="756" w:type="dxa"/>
            <w:vAlign w:val="center"/>
          </w:tcPr>
          <w:p>
            <w:pPr>
              <w:pStyle w:val="52"/>
              <w:jc w:val="center"/>
              <w:rPr>
                <w:szCs w:val="21"/>
              </w:rPr>
            </w:pPr>
            <w:r>
              <w:rPr>
                <w:szCs w:val="21"/>
              </w:rPr>
              <w:t>4.8</w:t>
            </w:r>
          </w:p>
        </w:tc>
        <w:tc>
          <w:tcPr>
            <w:tcW w:w="756" w:type="dxa"/>
            <w:shd w:val="clear" w:color="auto" w:fill="auto"/>
            <w:vAlign w:val="center"/>
          </w:tcPr>
          <w:p>
            <w:pPr>
              <w:pStyle w:val="52"/>
              <w:jc w:val="center"/>
              <w:rPr>
                <w:szCs w:val="21"/>
              </w:rPr>
            </w:pPr>
            <w:r>
              <w:rPr>
                <w:szCs w:val="21"/>
              </w:rPr>
              <w:t>0.0</w:t>
            </w:r>
          </w:p>
        </w:tc>
      </w:tr>
    </w:tbl>
    <w:p>
      <w:pPr>
        <w:pStyle w:val="70"/>
      </w:pPr>
      <w:r>
        <w:rPr>
          <w:rFonts w:hint="eastAsia"/>
        </w:rPr>
        <w:t>（3）不同专业研究生就业地区</w:t>
      </w:r>
    </w:p>
    <w:p>
      <w:pPr>
        <w:pStyle w:val="37"/>
        <w:ind w:firstLine="480"/>
      </w:pPr>
      <w:r>
        <w:rPr>
          <w:rFonts w:hint="eastAsia"/>
        </w:rPr>
        <w:t>就不同专业而言，研究生三个专业最终落实在京就业的比例与期望的比例完全相同。</w:t>
      </w:r>
    </w:p>
    <w:p>
      <w:pPr>
        <w:pStyle w:val="53"/>
        <w:spacing w:before="312" w:after="156"/>
      </w:pPr>
      <w:r>
        <w:rPr>
          <w:rFonts w:hint="eastAsia"/>
        </w:rPr>
        <w:t>不同专业研究生期望首选与最终落实就业地区（1）</w:t>
      </w:r>
    </w:p>
    <w:tbl>
      <w:tblPr>
        <w:tblStyle w:val="33"/>
        <w:tblW w:w="718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476"/>
        <w:gridCol w:w="426"/>
        <w:gridCol w:w="105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47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224" w:type="dxa"/>
            <w:gridSpan w:val="4"/>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47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北京就业</w:t>
            </w:r>
          </w:p>
        </w:tc>
        <w:tc>
          <w:tcPr>
            <w:tcW w:w="1056" w:type="dxa"/>
            <w:vAlign w:val="center"/>
          </w:tcPr>
          <w:p>
            <w:pPr>
              <w:pStyle w:val="52"/>
              <w:jc w:val="center"/>
              <w:rPr>
                <w:szCs w:val="21"/>
              </w:rPr>
            </w:pPr>
            <w:r>
              <w:rPr>
                <w:rFonts w:hint="eastAsia"/>
                <w:szCs w:val="21"/>
              </w:rPr>
              <w:t>东部就业</w:t>
            </w:r>
          </w:p>
        </w:tc>
        <w:tc>
          <w:tcPr>
            <w:tcW w:w="1056" w:type="dxa"/>
            <w:vAlign w:val="center"/>
          </w:tcPr>
          <w:p>
            <w:pPr>
              <w:pStyle w:val="52"/>
              <w:jc w:val="center"/>
              <w:rPr>
                <w:szCs w:val="21"/>
              </w:rPr>
            </w:pPr>
            <w:r>
              <w:rPr>
                <w:rFonts w:hint="eastAsia"/>
                <w:szCs w:val="21"/>
              </w:rPr>
              <w:t>中部就业</w:t>
            </w:r>
          </w:p>
        </w:tc>
        <w:tc>
          <w:tcPr>
            <w:tcW w:w="1056" w:type="dxa"/>
            <w:shd w:val="clear" w:color="auto" w:fill="auto"/>
            <w:vAlign w:val="center"/>
          </w:tcPr>
          <w:p>
            <w:pPr>
              <w:pStyle w:val="52"/>
              <w:jc w:val="center"/>
              <w:rPr>
                <w:szCs w:val="20"/>
              </w:rPr>
            </w:pPr>
            <w:r>
              <w:rPr>
                <w:rFonts w:hint="eastAsia"/>
                <w:szCs w:val="21"/>
              </w:rPr>
              <w:t>西部就业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476" w:type="dxa"/>
            <w:shd w:val="clear" w:color="auto" w:fill="auto"/>
            <w:vAlign w:val="center"/>
          </w:tcPr>
          <w:p>
            <w:pPr>
              <w:pStyle w:val="52"/>
              <w:rPr>
                <w:szCs w:val="20"/>
              </w:rPr>
            </w:pPr>
            <w:r>
              <w:rPr>
                <w:rFonts w:hint="eastAsia"/>
                <w:szCs w:val="21"/>
              </w:rPr>
              <w:t>戏剧</w:t>
            </w:r>
          </w:p>
        </w:tc>
        <w:tc>
          <w:tcPr>
            <w:tcW w:w="426" w:type="dxa"/>
            <w:shd w:val="clear" w:color="auto" w:fill="auto"/>
            <w:vAlign w:val="center"/>
          </w:tcPr>
          <w:p>
            <w:pPr>
              <w:pStyle w:val="52"/>
              <w:jc w:val="center"/>
              <w:rPr>
                <w:szCs w:val="20"/>
              </w:rPr>
            </w:pPr>
            <w:r>
              <w:rPr>
                <w:szCs w:val="21"/>
              </w:rPr>
              <w:t>11</w:t>
            </w:r>
          </w:p>
        </w:tc>
        <w:tc>
          <w:tcPr>
            <w:tcW w:w="1056" w:type="dxa"/>
            <w:vAlign w:val="center"/>
          </w:tcPr>
          <w:p>
            <w:pPr>
              <w:pStyle w:val="52"/>
              <w:jc w:val="center"/>
              <w:rPr>
                <w:szCs w:val="21"/>
              </w:rPr>
            </w:pPr>
            <w:r>
              <w:rPr>
                <w:szCs w:val="21"/>
              </w:rPr>
              <w:t>90.9</w:t>
            </w:r>
          </w:p>
        </w:tc>
        <w:tc>
          <w:tcPr>
            <w:tcW w:w="1056" w:type="dxa"/>
            <w:vAlign w:val="center"/>
          </w:tcPr>
          <w:p>
            <w:pPr>
              <w:pStyle w:val="52"/>
              <w:jc w:val="center"/>
              <w:rPr>
                <w:szCs w:val="21"/>
              </w:rPr>
            </w:pPr>
            <w:r>
              <w:rPr>
                <w:szCs w:val="21"/>
              </w:rPr>
              <w:t>9.1</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93.3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476" w:type="dxa"/>
            <w:shd w:val="clear" w:color="auto" w:fill="auto"/>
            <w:vAlign w:val="center"/>
          </w:tcPr>
          <w:p>
            <w:pPr>
              <w:pStyle w:val="52"/>
              <w:rPr>
                <w:szCs w:val="21"/>
              </w:rPr>
            </w:pPr>
            <w:r>
              <w:rPr>
                <w:rFonts w:hint="eastAsia"/>
                <w:szCs w:val="21"/>
              </w:rPr>
              <w:t>戏剧</w:t>
            </w:r>
          </w:p>
        </w:tc>
        <w:tc>
          <w:tcPr>
            <w:tcW w:w="426" w:type="dxa"/>
            <w:shd w:val="clear" w:color="auto" w:fill="auto"/>
            <w:vAlign w:val="center"/>
          </w:tcPr>
          <w:p>
            <w:pPr>
              <w:pStyle w:val="52"/>
              <w:jc w:val="center"/>
              <w:rPr>
                <w:szCs w:val="21"/>
              </w:rPr>
            </w:pPr>
            <w:r>
              <w:rPr>
                <w:szCs w:val="21"/>
              </w:rPr>
              <w:t>11</w:t>
            </w:r>
          </w:p>
        </w:tc>
        <w:tc>
          <w:tcPr>
            <w:tcW w:w="1056" w:type="dxa"/>
            <w:vAlign w:val="center"/>
          </w:tcPr>
          <w:p>
            <w:pPr>
              <w:pStyle w:val="52"/>
              <w:jc w:val="center"/>
              <w:rPr>
                <w:szCs w:val="21"/>
              </w:rPr>
            </w:pPr>
            <w:r>
              <w:rPr>
                <w:szCs w:val="21"/>
              </w:rPr>
              <w:t>90.9</w:t>
            </w:r>
          </w:p>
        </w:tc>
        <w:tc>
          <w:tcPr>
            <w:tcW w:w="1056" w:type="dxa"/>
            <w:vAlign w:val="center"/>
          </w:tcPr>
          <w:p>
            <w:pPr>
              <w:pStyle w:val="52"/>
              <w:jc w:val="center"/>
              <w:rPr>
                <w:szCs w:val="21"/>
              </w:rPr>
            </w:pPr>
            <w:r>
              <w:rPr>
                <w:szCs w:val="21"/>
              </w:rPr>
              <w:t>9.1</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93.3</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056" w:type="dxa"/>
            <w:vAlign w:val="center"/>
          </w:tcPr>
          <w:p>
            <w:pPr>
              <w:pStyle w:val="52"/>
              <w:jc w:val="center"/>
              <w:rPr>
                <w:szCs w:val="21"/>
              </w:rPr>
            </w:pPr>
            <w:r>
              <w:rPr>
                <w:szCs w:val="21"/>
              </w:rPr>
              <w:t>100.0</w:t>
            </w:r>
          </w:p>
        </w:tc>
        <w:tc>
          <w:tcPr>
            <w:tcW w:w="1056" w:type="dxa"/>
            <w:vAlign w:val="center"/>
          </w:tcPr>
          <w:p>
            <w:pPr>
              <w:pStyle w:val="52"/>
              <w:jc w:val="center"/>
              <w:rPr>
                <w:szCs w:val="21"/>
              </w:rPr>
            </w:pPr>
            <w:r>
              <w:rPr>
                <w:szCs w:val="21"/>
              </w:rPr>
              <w:t>0.0</w:t>
            </w:r>
          </w:p>
        </w:tc>
        <w:tc>
          <w:tcPr>
            <w:tcW w:w="1056" w:type="dxa"/>
            <w:vAlign w:val="center"/>
          </w:tcPr>
          <w:p>
            <w:pPr>
              <w:pStyle w:val="52"/>
              <w:jc w:val="center"/>
              <w:rPr>
                <w:szCs w:val="21"/>
              </w:rPr>
            </w:pPr>
            <w:r>
              <w:rPr>
                <w:szCs w:val="21"/>
              </w:rPr>
              <w:t>0.0</w:t>
            </w:r>
          </w:p>
        </w:tc>
        <w:tc>
          <w:tcPr>
            <w:tcW w:w="1056" w:type="dxa"/>
            <w:shd w:val="clear" w:color="auto" w:fill="auto"/>
            <w:vAlign w:val="center"/>
          </w:tcPr>
          <w:p>
            <w:pPr>
              <w:pStyle w:val="52"/>
              <w:jc w:val="center"/>
              <w:rPr>
                <w:szCs w:val="21"/>
              </w:rPr>
            </w:pPr>
            <w:r>
              <w:rPr>
                <w:szCs w:val="21"/>
              </w:rPr>
              <w:t>0.0</w:t>
            </w:r>
          </w:p>
        </w:tc>
      </w:tr>
    </w:tbl>
    <w:p>
      <w:pPr>
        <w:pStyle w:val="37"/>
        <w:ind w:firstLine="480"/>
      </w:pPr>
    </w:p>
    <w:p>
      <w:pPr>
        <w:pStyle w:val="53"/>
        <w:spacing w:before="312" w:after="156"/>
      </w:pPr>
      <w:r>
        <w:rPr>
          <w:rFonts w:hint="eastAsia"/>
        </w:rPr>
        <w:t>不同专业研究生期望首选与最终落实就业地区（2）</w:t>
      </w:r>
    </w:p>
    <w:tbl>
      <w:tblPr>
        <w:tblStyle w:val="33"/>
        <w:tblW w:w="985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64"/>
        <w:gridCol w:w="1541"/>
        <w:gridCol w:w="426"/>
        <w:gridCol w:w="802"/>
        <w:gridCol w:w="722"/>
        <w:gridCol w:w="851"/>
        <w:gridCol w:w="851"/>
        <w:gridCol w:w="851"/>
        <w:gridCol w:w="851"/>
        <w:gridCol w:w="851"/>
        <w:gridCol w:w="722"/>
        <w:gridCol w:w="722"/>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64" w:type="dxa"/>
            <w:vMerge w:val="restart"/>
            <w:tcBorders>
              <w:right w:val="dotted" w:color="00B050" w:sz="8" w:space="0"/>
            </w:tcBorders>
            <w:shd w:val="clear" w:color="auto" w:fill="auto"/>
            <w:vAlign w:val="center"/>
          </w:tcPr>
          <w:p>
            <w:pPr>
              <w:pStyle w:val="52"/>
              <w:ind w:firstLine="480"/>
              <w:jc w:val="center"/>
              <w:rPr>
                <w:szCs w:val="20"/>
              </w:rPr>
            </w:pPr>
          </w:p>
        </w:tc>
        <w:tc>
          <w:tcPr>
            <w:tcW w:w="1541"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7223" w:type="dxa"/>
            <w:gridSpan w:val="9"/>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64" w:type="dxa"/>
            <w:vMerge w:val="continue"/>
            <w:tcBorders>
              <w:right w:val="dotted" w:color="00B050" w:sz="8" w:space="0"/>
            </w:tcBorders>
            <w:shd w:val="clear" w:color="auto" w:fill="auto"/>
            <w:vAlign w:val="center"/>
          </w:tcPr>
          <w:p>
            <w:pPr>
              <w:pStyle w:val="52"/>
              <w:jc w:val="center"/>
              <w:rPr>
                <w:szCs w:val="20"/>
              </w:rPr>
            </w:pPr>
          </w:p>
        </w:tc>
        <w:tc>
          <w:tcPr>
            <w:tcW w:w="1541"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802" w:type="dxa"/>
            <w:vAlign w:val="center"/>
          </w:tcPr>
          <w:p>
            <w:pPr>
              <w:pStyle w:val="52"/>
              <w:jc w:val="center"/>
              <w:rPr>
                <w:szCs w:val="21"/>
              </w:rPr>
            </w:pPr>
            <w:r>
              <w:rPr>
                <w:rFonts w:hint="eastAsia"/>
                <w:szCs w:val="21"/>
              </w:rPr>
              <w:t>北京地区</w:t>
            </w:r>
          </w:p>
        </w:tc>
        <w:tc>
          <w:tcPr>
            <w:tcW w:w="722" w:type="dxa"/>
            <w:vAlign w:val="center"/>
          </w:tcPr>
          <w:p>
            <w:pPr>
              <w:pStyle w:val="52"/>
              <w:jc w:val="center"/>
              <w:rPr>
                <w:szCs w:val="21"/>
              </w:rPr>
            </w:pPr>
            <w:r>
              <w:rPr>
                <w:rFonts w:hint="eastAsia"/>
                <w:szCs w:val="21"/>
              </w:rPr>
              <w:t>东北经济区</w:t>
            </w:r>
          </w:p>
        </w:tc>
        <w:tc>
          <w:tcPr>
            <w:tcW w:w="851" w:type="dxa"/>
            <w:vAlign w:val="center"/>
          </w:tcPr>
          <w:p>
            <w:pPr>
              <w:pStyle w:val="52"/>
              <w:jc w:val="center"/>
              <w:rPr>
                <w:szCs w:val="21"/>
              </w:rPr>
            </w:pPr>
            <w:r>
              <w:rPr>
                <w:rFonts w:hint="eastAsia"/>
                <w:szCs w:val="21"/>
              </w:rPr>
              <w:t>北部沿海经济区</w:t>
            </w:r>
          </w:p>
        </w:tc>
        <w:tc>
          <w:tcPr>
            <w:tcW w:w="851" w:type="dxa"/>
            <w:vAlign w:val="center"/>
          </w:tcPr>
          <w:p>
            <w:pPr>
              <w:pStyle w:val="52"/>
              <w:jc w:val="center"/>
              <w:rPr>
                <w:szCs w:val="21"/>
              </w:rPr>
            </w:pPr>
            <w:r>
              <w:rPr>
                <w:rFonts w:hint="eastAsia"/>
                <w:szCs w:val="21"/>
              </w:rPr>
              <w:t>东部沿海经济区</w:t>
            </w:r>
          </w:p>
        </w:tc>
        <w:tc>
          <w:tcPr>
            <w:tcW w:w="851" w:type="dxa"/>
            <w:vAlign w:val="center"/>
          </w:tcPr>
          <w:p>
            <w:pPr>
              <w:pStyle w:val="52"/>
              <w:jc w:val="center"/>
              <w:rPr>
                <w:szCs w:val="21"/>
              </w:rPr>
            </w:pPr>
            <w:r>
              <w:rPr>
                <w:rFonts w:hint="eastAsia"/>
                <w:szCs w:val="21"/>
              </w:rPr>
              <w:t>南部沿海经济区</w:t>
            </w:r>
          </w:p>
        </w:tc>
        <w:tc>
          <w:tcPr>
            <w:tcW w:w="851" w:type="dxa"/>
            <w:vAlign w:val="center"/>
          </w:tcPr>
          <w:p>
            <w:pPr>
              <w:pStyle w:val="52"/>
              <w:jc w:val="center"/>
              <w:rPr>
                <w:szCs w:val="21"/>
              </w:rPr>
            </w:pPr>
            <w:r>
              <w:rPr>
                <w:rFonts w:hint="eastAsia"/>
                <w:szCs w:val="21"/>
              </w:rPr>
              <w:t>黄河中游经济区</w:t>
            </w:r>
          </w:p>
        </w:tc>
        <w:tc>
          <w:tcPr>
            <w:tcW w:w="851" w:type="dxa"/>
            <w:vAlign w:val="center"/>
          </w:tcPr>
          <w:p>
            <w:pPr>
              <w:pStyle w:val="52"/>
              <w:jc w:val="center"/>
              <w:rPr>
                <w:szCs w:val="21"/>
              </w:rPr>
            </w:pPr>
            <w:r>
              <w:rPr>
                <w:rFonts w:hint="eastAsia"/>
                <w:szCs w:val="21"/>
              </w:rPr>
              <w:t>长江中游经济区</w:t>
            </w:r>
          </w:p>
        </w:tc>
        <w:tc>
          <w:tcPr>
            <w:tcW w:w="722" w:type="dxa"/>
            <w:vAlign w:val="center"/>
          </w:tcPr>
          <w:p>
            <w:pPr>
              <w:pStyle w:val="52"/>
              <w:jc w:val="center"/>
              <w:rPr>
                <w:szCs w:val="21"/>
              </w:rPr>
            </w:pPr>
            <w:r>
              <w:rPr>
                <w:rFonts w:hint="eastAsia"/>
                <w:szCs w:val="21"/>
              </w:rPr>
              <w:t>西南经济区</w:t>
            </w:r>
          </w:p>
        </w:tc>
        <w:tc>
          <w:tcPr>
            <w:tcW w:w="722" w:type="dxa"/>
            <w:shd w:val="clear" w:color="auto" w:fill="auto"/>
            <w:vAlign w:val="center"/>
          </w:tcPr>
          <w:p>
            <w:pPr>
              <w:pStyle w:val="52"/>
              <w:jc w:val="center"/>
              <w:rPr>
                <w:szCs w:val="20"/>
              </w:rPr>
            </w:pPr>
            <w:r>
              <w:rPr>
                <w:rFonts w:hint="eastAsia"/>
                <w:szCs w:val="21"/>
              </w:rPr>
              <w:t>西北经济区</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64" w:type="dxa"/>
            <w:vMerge w:val="restart"/>
            <w:vAlign w:val="center"/>
          </w:tcPr>
          <w:p>
            <w:pPr>
              <w:pStyle w:val="52"/>
              <w:rPr>
                <w:szCs w:val="20"/>
              </w:rPr>
            </w:pPr>
            <w:r>
              <w:rPr>
                <w:rFonts w:hint="eastAsia"/>
                <w:szCs w:val="20"/>
              </w:rPr>
              <w:t>期望首选</w:t>
            </w:r>
          </w:p>
        </w:tc>
        <w:tc>
          <w:tcPr>
            <w:tcW w:w="1541" w:type="dxa"/>
            <w:shd w:val="clear" w:color="auto" w:fill="auto"/>
            <w:vAlign w:val="center"/>
          </w:tcPr>
          <w:p>
            <w:pPr>
              <w:pStyle w:val="52"/>
              <w:rPr>
                <w:szCs w:val="20"/>
              </w:rPr>
            </w:pPr>
            <w:r>
              <w:rPr>
                <w:rFonts w:hint="eastAsia"/>
                <w:szCs w:val="21"/>
              </w:rPr>
              <w:t>戏剧</w:t>
            </w:r>
          </w:p>
        </w:tc>
        <w:tc>
          <w:tcPr>
            <w:tcW w:w="426" w:type="dxa"/>
            <w:shd w:val="clear" w:color="auto" w:fill="auto"/>
            <w:vAlign w:val="center"/>
          </w:tcPr>
          <w:p>
            <w:pPr>
              <w:pStyle w:val="52"/>
              <w:jc w:val="center"/>
              <w:rPr>
                <w:szCs w:val="20"/>
              </w:rPr>
            </w:pPr>
            <w:r>
              <w:rPr>
                <w:szCs w:val="21"/>
              </w:rPr>
              <w:t>11</w:t>
            </w:r>
          </w:p>
        </w:tc>
        <w:tc>
          <w:tcPr>
            <w:tcW w:w="802" w:type="dxa"/>
            <w:vAlign w:val="center"/>
          </w:tcPr>
          <w:p>
            <w:pPr>
              <w:pStyle w:val="52"/>
              <w:jc w:val="center"/>
              <w:rPr>
                <w:szCs w:val="21"/>
              </w:rPr>
            </w:pPr>
            <w:r>
              <w:rPr>
                <w:szCs w:val="21"/>
              </w:rPr>
              <w:t>90.9</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9.1</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0.0</w:t>
            </w:r>
          </w:p>
        </w:tc>
        <w:tc>
          <w:tcPr>
            <w:tcW w:w="722"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64" w:type="dxa"/>
            <w:vMerge w:val="continue"/>
            <w:vAlign w:val="center"/>
          </w:tcPr>
          <w:p>
            <w:pPr>
              <w:pStyle w:val="52"/>
              <w:rPr>
                <w:szCs w:val="20"/>
              </w:rPr>
            </w:pPr>
          </w:p>
        </w:tc>
        <w:tc>
          <w:tcPr>
            <w:tcW w:w="1541"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802" w:type="dxa"/>
            <w:vAlign w:val="center"/>
          </w:tcPr>
          <w:p>
            <w:pPr>
              <w:pStyle w:val="52"/>
              <w:jc w:val="center"/>
              <w:rPr>
                <w:szCs w:val="21"/>
              </w:rPr>
            </w:pPr>
            <w:r>
              <w:rPr>
                <w:szCs w:val="21"/>
              </w:rPr>
              <w:t>93.3</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6.7</w:t>
            </w:r>
          </w:p>
        </w:tc>
        <w:tc>
          <w:tcPr>
            <w:tcW w:w="722"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64" w:type="dxa"/>
            <w:vMerge w:val="continue"/>
            <w:vAlign w:val="center"/>
          </w:tcPr>
          <w:p>
            <w:pPr>
              <w:pStyle w:val="52"/>
              <w:rPr>
                <w:szCs w:val="20"/>
              </w:rPr>
            </w:pPr>
          </w:p>
        </w:tc>
        <w:tc>
          <w:tcPr>
            <w:tcW w:w="1541"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802" w:type="dxa"/>
            <w:vAlign w:val="center"/>
          </w:tcPr>
          <w:p>
            <w:pPr>
              <w:pStyle w:val="52"/>
              <w:jc w:val="center"/>
              <w:rPr>
                <w:szCs w:val="21"/>
              </w:rPr>
            </w:pPr>
            <w:r>
              <w:rPr>
                <w:szCs w:val="21"/>
              </w:rPr>
              <w:t>100.0</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0.0</w:t>
            </w:r>
          </w:p>
        </w:tc>
        <w:tc>
          <w:tcPr>
            <w:tcW w:w="722"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664" w:type="dxa"/>
            <w:vMerge w:val="restart"/>
            <w:vAlign w:val="center"/>
          </w:tcPr>
          <w:p>
            <w:pPr>
              <w:pStyle w:val="52"/>
              <w:rPr>
                <w:szCs w:val="20"/>
              </w:rPr>
            </w:pPr>
            <w:r>
              <w:rPr>
                <w:rFonts w:hint="eastAsia"/>
                <w:szCs w:val="20"/>
              </w:rPr>
              <w:t>最终落实</w:t>
            </w:r>
          </w:p>
        </w:tc>
        <w:tc>
          <w:tcPr>
            <w:tcW w:w="1541" w:type="dxa"/>
            <w:shd w:val="clear" w:color="auto" w:fill="auto"/>
            <w:vAlign w:val="center"/>
          </w:tcPr>
          <w:p>
            <w:pPr>
              <w:pStyle w:val="52"/>
              <w:rPr>
                <w:szCs w:val="21"/>
              </w:rPr>
            </w:pPr>
            <w:r>
              <w:rPr>
                <w:rFonts w:hint="eastAsia"/>
                <w:szCs w:val="21"/>
              </w:rPr>
              <w:t>戏剧</w:t>
            </w:r>
          </w:p>
        </w:tc>
        <w:tc>
          <w:tcPr>
            <w:tcW w:w="426" w:type="dxa"/>
            <w:shd w:val="clear" w:color="auto" w:fill="auto"/>
            <w:vAlign w:val="center"/>
          </w:tcPr>
          <w:p>
            <w:pPr>
              <w:pStyle w:val="52"/>
              <w:jc w:val="center"/>
              <w:rPr>
                <w:szCs w:val="21"/>
              </w:rPr>
            </w:pPr>
            <w:r>
              <w:rPr>
                <w:szCs w:val="21"/>
              </w:rPr>
              <w:t>11</w:t>
            </w:r>
          </w:p>
        </w:tc>
        <w:tc>
          <w:tcPr>
            <w:tcW w:w="802" w:type="dxa"/>
            <w:vAlign w:val="center"/>
          </w:tcPr>
          <w:p>
            <w:pPr>
              <w:pStyle w:val="52"/>
              <w:jc w:val="center"/>
              <w:rPr>
                <w:szCs w:val="21"/>
              </w:rPr>
            </w:pPr>
            <w:r>
              <w:rPr>
                <w:szCs w:val="21"/>
              </w:rPr>
              <w:t>90.9</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9.1</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0.0</w:t>
            </w:r>
          </w:p>
        </w:tc>
        <w:tc>
          <w:tcPr>
            <w:tcW w:w="722"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64" w:type="dxa"/>
            <w:vMerge w:val="continue"/>
            <w:vAlign w:val="center"/>
          </w:tcPr>
          <w:p>
            <w:pPr>
              <w:pStyle w:val="52"/>
              <w:rPr>
                <w:szCs w:val="20"/>
              </w:rPr>
            </w:pPr>
          </w:p>
        </w:tc>
        <w:tc>
          <w:tcPr>
            <w:tcW w:w="1541"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802" w:type="dxa"/>
            <w:vAlign w:val="center"/>
          </w:tcPr>
          <w:p>
            <w:pPr>
              <w:pStyle w:val="52"/>
              <w:jc w:val="center"/>
              <w:rPr>
                <w:szCs w:val="21"/>
              </w:rPr>
            </w:pPr>
            <w:r>
              <w:rPr>
                <w:szCs w:val="21"/>
              </w:rPr>
              <w:t>93.3</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6.7</w:t>
            </w:r>
          </w:p>
        </w:tc>
        <w:tc>
          <w:tcPr>
            <w:tcW w:w="722"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64" w:type="dxa"/>
            <w:vMerge w:val="continue"/>
            <w:vAlign w:val="center"/>
          </w:tcPr>
          <w:p>
            <w:pPr>
              <w:pStyle w:val="52"/>
              <w:rPr>
                <w:szCs w:val="20"/>
              </w:rPr>
            </w:pPr>
          </w:p>
        </w:tc>
        <w:tc>
          <w:tcPr>
            <w:tcW w:w="1541"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802" w:type="dxa"/>
            <w:vAlign w:val="center"/>
          </w:tcPr>
          <w:p>
            <w:pPr>
              <w:pStyle w:val="52"/>
              <w:jc w:val="center"/>
              <w:rPr>
                <w:szCs w:val="21"/>
              </w:rPr>
            </w:pPr>
            <w:r>
              <w:rPr>
                <w:szCs w:val="21"/>
              </w:rPr>
              <w:t>100.0</w:t>
            </w:r>
          </w:p>
        </w:tc>
        <w:tc>
          <w:tcPr>
            <w:tcW w:w="722"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851" w:type="dxa"/>
            <w:vAlign w:val="center"/>
          </w:tcPr>
          <w:p>
            <w:pPr>
              <w:pStyle w:val="52"/>
              <w:jc w:val="center"/>
              <w:rPr>
                <w:szCs w:val="21"/>
              </w:rPr>
            </w:pPr>
            <w:r>
              <w:rPr>
                <w:szCs w:val="21"/>
              </w:rPr>
              <w:t>0.0</w:t>
            </w:r>
          </w:p>
        </w:tc>
        <w:tc>
          <w:tcPr>
            <w:tcW w:w="722" w:type="dxa"/>
            <w:vAlign w:val="center"/>
          </w:tcPr>
          <w:p>
            <w:pPr>
              <w:pStyle w:val="52"/>
              <w:jc w:val="center"/>
              <w:rPr>
                <w:szCs w:val="21"/>
              </w:rPr>
            </w:pPr>
            <w:r>
              <w:rPr>
                <w:szCs w:val="21"/>
              </w:rPr>
              <w:t>0.0</w:t>
            </w:r>
          </w:p>
        </w:tc>
        <w:tc>
          <w:tcPr>
            <w:tcW w:w="722" w:type="dxa"/>
            <w:shd w:val="clear" w:color="auto" w:fill="auto"/>
            <w:vAlign w:val="center"/>
          </w:tcPr>
          <w:p>
            <w:pPr>
              <w:pStyle w:val="52"/>
              <w:jc w:val="center"/>
              <w:rPr>
                <w:szCs w:val="21"/>
              </w:rPr>
            </w:pPr>
            <w:r>
              <w:rPr>
                <w:szCs w:val="21"/>
              </w:rPr>
              <w:t>0.0</w:t>
            </w:r>
          </w:p>
        </w:tc>
      </w:tr>
    </w:tbl>
    <w:p>
      <w:pPr>
        <w:pStyle w:val="52"/>
      </w:pPr>
    </w:p>
    <w:p>
      <w:pPr>
        <w:pStyle w:val="67"/>
      </w:pPr>
      <w:bookmarkStart w:id="197" w:name="_Toc470167422"/>
      <w:r>
        <w:rPr>
          <w:rFonts w:hint="eastAsia"/>
        </w:rPr>
        <w:t>3、就业城市类型</w:t>
      </w:r>
      <w:bookmarkEnd w:id="197"/>
    </w:p>
    <w:p>
      <w:pPr>
        <w:pStyle w:val="37"/>
        <w:ind w:firstLine="480"/>
      </w:pPr>
      <w:bookmarkStart w:id="198" w:name="PO_34230"/>
      <w:bookmarkEnd w:id="198"/>
      <w:r>
        <w:rPr>
          <w:rFonts w:hint="eastAsia"/>
        </w:rPr>
        <w:t>调查显示，就城市类型而言，研究生期望首选和最终落实在直辖市的比例均为100.0%。</w:t>
      </w:r>
    </w:p>
    <w:p>
      <w:pPr>
        <w:pStyle w:val="53"/>
        <w:spacing w:before="312" w:after="156"/>
      </w:pPr>
      <w:r>
        <w:rPr>
          <w:rFonts w:hint="eastAsia"/>
        </w:rPr>
        <w:t>期望首选与最终落实就业城市类型（%）</w:t>
      </w:r>
    </w:p>
    <w:tbl>
      <w:tblPr>
        <w:tblStyle w:val="33"/>
        <w:tblW w:w="494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573"/>
        <w:gridCol w:w="1134"/>
        <w:gridCol w:w="123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jc w:val="center"/>
              <w:rPr>
                <w:rFonts w:ascii="Calibri" w:hAnsi="Calibri" w:cs="宋体"/>
                <w:color w:val="000000"/>
                <w:kern w:val="0"/>
                <w:szCs w:val="21"/>
              </w:rPr>
            </w:pPr>
          </w:p>
        </w:tc>
        <w:tc>
          <w:tcPr>
            <w:tcW w:w="1134"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期望首选</w:t>
            </w:r>
          </w:p>
        </w:tc>
        <w:tc>
          <w:tcPr>
            <w:tcW w:w="1238" w:type="dxa"/>
            <w:vAlign w:val="center"/>
          </w:tcPr>
          <w:p>
            <w:pPr>
              <w:widowControl/>
              <w:jc w:val="center"/>
              <w:rPr>
                <w:rFonts w:ascii="Calibri" w:hAnsi="Calibri" w:cs="宋体"/>
                <w:color w:val="000000"/>
                <w:kern w:val="0"/>
                <w:szCs w:val="21"/>
              </w:rPr>
            </w:pPr>
            <w:r>
              <w:rPr>
                <w:rFonts w:hint="eastAsia" w:ascii="Calibri" w:hAnsi="Calibri" w:cs="宋体"/>
                <w:color w:val="000000"/>
                <w:kern w:val="0"/>
                <w:szCs w:val="21"/>
              </w:rPr>
              <w:t>最终落实</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直辖市</w:t>
            </w:r>
          </w:p>
        </w:tc>
        <w:tc>
          <w:tcPr>
            <w:tcW w:w="1134" w:type="dxa"/>
            <w:vAlign w:val="center"/>
          </w:tcPr>
          <w:p>
            <w:pPr>
              <w:widowControl/>
              <w:jc w:val="center"/>
              <w:rPr>
                <w:color w:val="000000"/>
                <w:kern w:val="0"/>
                <w:szCs w:val="21"/>
              </w:rPr>
            </w:pPr>
            <w:r>
              <w:rPr>
                <w:color w:val="000000"/>
                <w:kern w:val="0"/>
                <w:szCs w:val="21"/>
              </w:rPr>
              <w:t>100.0</w:t>
            </w:r>
          </w:p>
        </w:tc>
        <w:tc>
          <w:tcPr>
            <w:tcW w:w="1238" w:type="dxa"/>
            <w:vAlign w:val="center"/>
          </w:tcPr>
          <w:p>
            <w:pPr>
              <w:widowControl/>
              <w:jc w:val="center"/>
              <w:rPr>
                <w:color w:val="000000"/>
                <w:kern w:val="0"/>
                <w:szCs w:val="21"/>
              </w:rPr>
            </w:pPr>
            <w:r>
              <w:rPr>
                <w:color w:val="000000"/>
                <w:kern w:val="0"/>
                <w:szCs w:val="21"/>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副省级城市</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2" w:hRule="atLeast"/>
          <w:jc w:val="center"/>
        </w:trPr>
        <w:tc>
          <w:tcPr>
            <w:tcW w:w="2573" w:type="dxa"/>
            <w:vAlign w:val="center"/>
          </w:tcPr>
          <w:p>
            <w:pPr>
              <w:widowControl/>
              <w:ind w:firstLine="630" w:firstLineChars="300"/>
              <w:rPr>
                <w:rFonts w:ascii="Calibri" w:hAnsi="Calibri" w:cs="宋体"/>
                <w:color w:val="000000"/>
                <w:kern w:val="0"/>
                <w:szCs w:val="21"/>
              </w:rPr>
            </w:pPr>
            <w:r>
              <w:rPr>
                <w:rFonts w:hint="eastAsia" w:ascii="Calibri" w:hAnsi="Calibri" w:cs="宋体"/>
                <w:color w:val="000000"/>
                <w:kern w:val="0"/>
                <w:szCs w:val="21"/>
              </w:rPr>
              <w:t>地级城市及以下</w:t>
            </w:r>
          </w:p>
        </w:tc>
        <w:tc>
          <w:tcPr>
            <w:tcW w:w="1134" w:type="dxa"/>
            <w:vAlign w:val="center"/>
          </w:tcPr>
          <w:p>
            <w:pPr>
              <w:widowControl/>
              <w:jc w:val="center"/>
              <w:rPr>
                <w:color w:val="000000"/>
                <w:kern w:val="0"/>
                <w:szCs w:val="21"/>
              </w:rPr>
            </w:pPr>
            <w:r>
              <w:rPr>
                <w:color w:val="000000"/>
                <w:kern w:val="0"/>
                <w:szCs w:val="21"/>
              </w:rPr>
              <w:t>0.0</w:t>
            </w:r>
          </w:p>
        </w:tc>
        <w:tc>
          <w:tcPr>
            <w:tcW w:w="1238" w:type="dxa"/>
            <w:vAlign w:val="center"/>
          </w:tcPr>
          <w:p>
            <w:pPr>
              <w:widowControl/>
              <w:jc w:val="center"/>
              <w:rPr>
                <w:color w:val="000000"/>
                <w:kern w:val="0"/>
                <w:szCs w:val="21"/>
              </w:rPr>
            </w:pPr>
            <w:r>
              <w:rPr>
                <w:color w:val="000000"/>
                <w:kern w:val="0"/>
                <w:szCs w:val="21"/>
              </w:rPr>
              <w:t>0.0</w:t>
            </w:r>
          </w:p>
        </w:tc>
      </w:tr>
    </w:tbl>
    <w:p>
      <w:pPr>
        <w:pStyle w:val="52"/>
      </w:pPr>
    </w:p>
    <w:p>
      <w:pPr>
        <w:pStyle w:val="67"/>
      </w:pPr>
      <w:bookmarkStart w:id="199" w:name="_Toc470167423"/>
      <w:r>
        <w:rPr>
          <w:rFonts w:hint="eastAsia"/>
        </w:rPr>
        <w:t>4、单位类型</w:t>
      </w:r>
      <w:bookmarkEnd w:id="199"/>
    </w:p>
    <w:p>
      <w:pPr>
        <w:pStyle w:val="70"/>
      </w:pPr>
      <w:bookmarkStart w:id="200" w:name="PO_3422"/>
      <w:bookmarkEnd w:id="200"/>
      <w:r>
        <w:rPr>
          <w:rFonts w:hint="eastAsia"/>
        </w:rPr>
        <w:t>（1）总体情况</w:t>
      </w:r>
    </w:p>
    <w:p>
      <w:pPr>
        <w:pStyle w:val="37"/>
        <w:ind w:firstLine="480"/>
      </w:pPr>
      <w:r>
        <w:rPr>
          <w:rFonts w:hint="eastAsia"/>
        </w:rPr>
        <w:t>总体而言，研究生期望首选的三个主要类型为：事业单位（67.9%），其他（17.9%），民营/私营企业（14.3%）。最终落实的三个主要类型为：事业单位（53.6%），民营/私营企业（28.6%），其他（17.9%）。</w:t>
      </w:r>
    </w:p>
    <w:p>
      <w:pPr>
        <w:jc w:val="center"/>
      </w:pPr>
      <w:r>
        <w:rPr>
          <w:rFonts w:hint="eastAsia"/>
        </w:rPr>
        <w:drawing>
          <wp:inline distT="0" distB="0" distL="0" distR="0">
            <wp:extent cx="6315075" cy="2914650"/>
            <wp:effectExtent l="19050" t="0" r="9525" b="0"/>
            <wp:docPr id="18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59"/>
        <w:spacing w:before="156" w:after="312"/>
      </w:pPr>
      <w:r>
        <w:rPr>
          <w:rFonts w:hint="eastAsia"/>
        </w:rPr>
        <w:t>期望首选与最终落实就业单位类型</w:t>
      </w:r>
    </w:p>
    <w:p>
      <w:pPr>
        <w:pStyle w:val="53"/>
        <w:spacing w:before="312" w:after="156"/>
      </w:pPr>
      <w:r>
        <w:rPr>
          <w:rFonts w:hint="eastAsia"/>
        </w:rPr>
        <w:t>期望首选与最终落实就业单位类型</w:t>
      </w:r>
    </w:p>
    <w:tbl>
      <w:tblPr>
        <w:tblStyle w:val="33"/>
        <w:tblW w:w="6850" w:type="dxa"/>
        <w:jc w:val="center"/>
        <w:tblInd w:w="0" w:type="dxa"/>
        <w:tblLayout w:type="fixed"/>
        <w:tblCellMar>
          <w:top w:w="0" w:type="dxa"/>
          <w:left w:w="108" w:type="dxa"/>
          <w:bottom w:w="0" w:type="dxa"/>
          <w:right w:w="108" w:type="dxa"/>
        </w:tblCellMar>
      </w:tblPr>
      <w:tblGrid>
        <w:gridCol w:w="2865"/>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2865"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ind w:firstLine="480"/>
              <w:rPr>
                <w:szCs w:val="20"/>
              </w:rPr>
            </w:pPr>
            <w:r>
              <w:rPr>
                <w:rFonts w:hint="eastAsia"/>
              </w:rPr>
              <w:t>　</w:t>
            </w: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2865" w:type="dxa"/>
            <w:vMerge w:val="continue"/>
            <w:tcBorders>
              <w:top w:val="single" w:color="00B050" w:sz="12" w:space="0"/>
              <w:left w:val="single" w:color="00B050" w:sz="8" w:space="0"/>
              <w:bottom w:val="single" w:color="00B050" w:sz="8" w:space="0"/>
              <w:right w:val="dotted" w:color="00B050" w:sz="8" w:space="0"/>
            </w:tcBorders>
            <w:vAlign w:val="center"/>
          </w:tcPr>
          <w:p>
            <w:pPr>
              <w:pStyle w:val="52"/>
              <w:rPr>
                <w:szCs w:val="20"/>
              </w:rPr>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20"/>
              </w:rPr>
            </w:pPr>
            <w:r>
              <w:rPr>
                <w:rFonts w:hint="eastAsia"/>
              </w:rPr>
              <w:t>事业单位</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19</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67.9</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15</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53.6</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民营/私营企业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4</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14.3</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8</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28.6</w:t>
            </w:r>
          </w:p>
        </w:tc>
      </w:tr>
      <w:tr>
        <w:tblPrEx>
          <w:tblLayout w:type="fixed"/>
          <w:tblCellMar>
            <w:top w:w="0" w:type="dxa"/>
            <w:left w:w="108" w:type="dxa"/>
            <w:bottom w:w="0" w:type="dxa"/>
            <w:right w:w="108" w:type="dxa"/>
          </w:tblCellMar>
        </w:tblPrEx>
        <w:trPr>
          <w:trHeight w:val="285" w:hRule="atLeast"/>
          <w:jc w:val="center"/>
        </w:trPr>
        <w:tc>
          <w:tcPr>
            <w:tcW w:w="286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pPr>
            <w:r>
              <w:rPr>
                <w:rFonts w:hint="eastAsia"/>
              </w:rPr>
              <w:t>其他</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17.9</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17.9</w:t>
            </w:r>
          </w:p>
        </w:tc>
      </w:tr>
    </w:tbl>
    <w:p>
      <w:pPr>
        <w:pStyle w:val="70"/>
      </w:pPr>
      <w:r>
        <w:rPr>
          <w:rFonts w:hint="eastAsia"/>
        </w:rPr>
        <w:t>（2）不同专业研究生就业单位类型</w:t>
      </w:r>
    </w:p>
    <w:p>
      <w:pPr>
        <w:pStyle w:val="37"/>
        <w:ind w:firstLine="480"/>
      </w:pPr>
      <w:r>
        <w:rPr>
          <w:rFonts w:hint="eastAsia"/>
        </w:rPr>
        <w:t>就不同专业而言，戏剧专业期望首选事业单位的比例最高，戏剧与影视学专业最终落实在事业单位的比例最高；艺术学理论专业期望首选和最终落实在民营/私营企业的比例最高。</w:t>
      </w:r>
    </w:p>
    <w:p>
      <w:pPr>
        <w:pStyle w:val="53"/>
        <w:spacing w:before="312" w:after="156"/>
      </w:pPr>
      <w:r>
        <w:rPr>
          <w:rFonts w:hint="eastAsia"/>
        </w:rPr>
        <w:t>不同专业研究生期望首选与最终落实就业单位类型</w:t>
      </w:r>
    </w:p>
    <w:tbl>
      <w:tblPr>
        <w:tblStyle w:val="33"/>
        <w:tblW w:w="618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476"/>
        <w:gridCol w:w="426"/>
        <w:gridCol w:w="1056"/>
        <w:gridCol w:w="1535"/>
        <w:gridCol w:w="63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47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3227" w:type="dxa"/>
            <w:gridSpan w:val="3"/>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47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056" w:type="dxa"/>
            <w:vAlign w:val="center"/>
          </w:tcPr>
          <w:p>
            <w:pPr>
              <w:pStyle w:val="52"/>
              <w:jc w:val="center"/>
              <w:rPr>
                <w:szCs w:val="21"/>
              </w:rPr>
            </w:pPr>
            <w:r>
              <w:rPr>
                <w:rFonts w:hint="eastAsia"/>
                <w:szCs w:val="21"/>
              </w:rPr>
              <w:t>事业单位</w:t>
            </w:r>
          </w:p>
        </w:tc>
        <w:tc>
          <w:tcPr>
            <w:tcW w:w="1535" w:type="dxa"/>
            <w:vAlign w:val="center"/>
          </w:tcPr>
          <w:p>
            <w:pPr>
              <w:pStyle w:val="52"/>
              <w:jc w:val="center"/>
              <w:rPr>
                <w:szCs w:val="21"/>
              </w:rPr>
            </w:pPr>
            <w:r>
              <w:rPr>
                <w:rFonts w:hint="eastAsia"/>
                <w:szCs w:val="21"/>
              </w:rPr>
              <w:t>民营/私营企业</w:t>
            </w:r>
          </w:p>
        </w:tc>
        <w:tc>
          <w:tcPr>
            <w:tcW w:w="636" w:type="dxa"/>
            <w:shd w:val="clear" w:color="auto" w:fill="auto"/>
            <w:vAlign w:val="center"/>
          </w:tcPr>
          <w:p>
            <w:pPr>
              <w:pStyle w:val="52"/>
              <w:jc w:val="center"/>
              <w:rPr>
                <w:szCs w:val="20"/>
              </w:rPr>
            </w:pPr>
            <w:r>
              <w:rPr>
                <w:rFonts w:hint="eastAsia"/>
                <w:szCs w:val="21"/>
              </w:rPr>
              <w:t>其他</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476" w:type="dxa"/>
            <w:shd w:val="clear" w:color="auto" w:fill="auto"/>
            <w:vAlign w:val="center"/>
          </w:tcPr>
          <w:p>
            <w:pPr>
              <w:pStyle w:val="52"/>
              <w:rPr>
                <w:szCs w:val="20"/>
              </w:rPr>
            </w:pPr>
            <w:r>
              <w:rPr>
                <w:rFonts w:hint="eastAsia"/>
                <w:szCs w:val="21"/>
              </w:rPr>
              <w:t>戏剧</w:t>
            </w:r>
          </w:p>
        </w:tc>
        <w:tc>
          <w:tcPr>
            <w:tcW w:w="426" w:type="dxa"/>
            <w:shd w:val="clear" w:color="auto" w:fill="auto"/>
            <w:vAlign w:val="center"/>
          </w:tcPr>
          <w:p>
            <w:pPr>
              <w:pStyle w:val="52"/>
              <w:jc w:val="center"/>
              <w:rPr>
                <w:szCs w:val="20"/>
              </w:rPr>
            </w:pPr>
            <w:r>
              <w:rPr>
                <w:szCs w:val="21"/>
              </w:rPr>
              <w:t>11</w:t>
            </w:r>
          </w:p>
        </w:tc>
        <w:tc>
          <w:tcPr>
            <w:tcW w:w="1056" w:type="dxa"/>
            <w:vAlign w:val="center"/>
          </w:tcPr>
          <w:p>
            <w:pPr>
              <w:pStyle w:val="52"/>
              <w:jc w:val="center"/>
              <w:rPr>
                <w:szCs w:val="21"/>
              </w:rPr>
            </w:pPr>
            <w:r>
              <w:rPr>
                <w:szCs w:val="21"/>
              </w:rPr>
              <w:t>72.7</w:t>
            </w:r>
          </w:p>
        </w:tc>
        <w:tc>
          <w:tcPr>
            <w:tcW w:w="1535" w:type="dxa"/>
            <w:vAlign w:val="center"/>
          </w:tcPr>
          <w:p>
            <w:pPr>
              <w:pStyle w:val="52"/>
              <w:jc w:val="center"/>
              <w:rPr>
                <w:szCs w:val="21"/>
              </w:rPr>
            </w:pPr>
            <w:r>
              <w:rPr>
                <w:szCs w:val="21"/>
              </w:rPr>
              <w:t>0.0</w:t>
            </w:r>
          </w:p>
        </w:tc>
        <w:tc>
          <w:tcPr>
            <w:tcW w:w="636" w:type="dxa"/>
            <w:shd w:val="clear" w:color="auto" w:fill="auto"/>
            <w:vAlign w:val="center"/>
          </w:tcPr>
          <w:p>
            <w:pPr>
              <w:pStyle w:val="52"/>
              <w:jc w:val="center"/>
              <w:rPr>
                <w:szCs w:val="20"/>
              </w:rPr>
            </w:pPr>
            <w:r>
              <w:rPr>
                <w:szCs w:val="21"/>
              </w:rPr>
              <w:t>27.3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66.7</w:t>
            </w:r>
          </w:p>
        </w:tc>
        <w:tc>
          <w:tcPr>
            <w:tcW w:w="1535" w:type="dxa"/>
            <w:vAlign w:val="center"/>
          </w:tcPr>
          <w:p>
            <w:pPr>
              <w:pStyle w:val="52"/>
              <w:jc w:val="center"/>
              <w:rPr>
                <w:szCs w:val="21"/>
              </w:rPr>
            </w:pPr>
            <w:r>
              <w:rPr>
                <w:szCs w:val="21"/>
              </w:rPr>
              <w:t>20.0</w:t>
            </w:r>
          </w:p>
        </w:tc>
        <w:tc>
          <w:tcPr>
            <w:tcW w:w="636" w:type="dxa"/>
            <w:shd w:val="clear" w:color="auto" w:fill="auto"/>
            <w:vAlign w:val="center"/>
          </w:tcPr>
          <w:p>
            <w:pPr>
              <w:pStyle w:val="52"/>
              <w:jc w:val="center"/>
              <w:rPr>
                <w:szCs w:val="21"/>
              </w:rPr>
            </w:pPr>
            <w:r>
              <w:rPr>
                <w:szCs w:val="21"/>
              </w:rPr>
              <w:t>13.3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056" w:type="dxa"/>
            <w:vAlign w:val="center"/>
          </w:tcPr>
          <w:p>
            <w:pPr>
              <w:pStyle w:val="52"/>
              <w:jc w:val="center"/>
              <w:rPr>
                <w:szCs w:val="21"/>
              </w:rPr>
            </w:pPr>
            <w:r>
              <w:rPr>
                <w:szCs w:val="21"/>
              </w:rPr>
              <w:t>50.0</w:t>
            </w:r>
          </w:p>
        </w:tc>
        <w:tc>
          <w:tcPr>
            <w:tcW w:w="1535" w:type="dxa"/>
            <w:vAlign w:val="center"/>
          </w:tcPr>
          <w:p>
            <w:pPr>
              <w:pStyle w:val="52"/>
              <w:jc w:val="center"/>
              <w:rPr>
                <w:szCs w:val="21"/>
              </w:rPr>
            </w:pPr>
            <w:r>
              <w:rPr>
                <w:szCs w:val="21"/>
              </w:rPr>
              <w:t>50.0</w:t>
            </w:r>
          </w:p>
        </w:tc>
        <w:tc>
          <w:tcPr>
            <w:tcW w:w="63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476" w:type="dxa"/>
            <w:shd w:val="clear" w:color="auto" w:fill="auto"/>
            <w:vAlign w:val="center"/>
          </w:tcPr>
          <w:p>
            <w:pPr>
              <w:pStyle w:val="52"/>
              <w:rPr>
                <w:szCs w:val="21"/>
              </w:rPr>
            </w:pPr>
            <w:r>
              <w:rPr>
                <w:rFonts w:hint="eastAsia"/>
                <w:szCs w:val="21"/>
              </w:rPr>
              <w:t>戏剧</w:t>
            </w:r>
          </w:p>
        </w:tc>
        <w:tc>
          <w:tcPr>
            <w:tcW w:w="426" w:type="dxa"/>
            <w:shd w:val="clear" w:color="auto" w:fill="auto"/>
            <w:vAlign w:val="center"/>
          </w:tcPr>
          <w:p>
            <w:pPr>
              <w:pStyle w:val="52"/>
              <w:jc w:val="center"/>
              <w:rPr>
                <w:szCs w:val="21"/>
              </w:rPr>
            </w:pPr>
            <w:r>
              <w:rPr>
                <w:szCs w:val="21"/>
              </w:rPr>
              <w:t>11</w:t>
            </w:r>
          </w:p>
        </w:tc>
        <w:tc>
          <w:tcPr>
            <w:tcW w:w="1056" w:type="dxa"/>
            <w:vAlign w:val="center"/>
          </w:tcPr>
          <w:p>
            <w:pPr>
              <w:pStyle w:val="52"/>
              <w:jc w:val="center"/>
              <w:rPr>
                <w:szCs w:val="21"/>
              </w:rPr>
            </w:pPr>
            <w:r>
              <w:rPr>
                <w:szCs w:val="21"/>
              </w:rPr>
              <w:t>36.4</w:t>
            </w:r>
          </w:p>
        </w:tc>
        <w:tc>
          <w:tcPr>
            <w:tcW w:w="1535" w:type="dxa"/>
            <w:vAlign w:val="center"/>
          </w:tcPr>
          <w:p>
            <w:pPr>
              <w:pStyle w:val="52"/>
              <w:jc w:val="center"/>
              <w:rPr>
                <w:szCs w:val="21"/>
              </w:rPr>
            </w:pPr>
            <w:r>
              <w:rPr>
                <w:szCs w:val="21"/>
              </w:rPr>
              <w:t>27.3</w:t>
            </w:r>
          </w:p>
        </w:tc>
        <w:tc>
          <w:tcPr>
            <w:tcW w:w="636" w:type="dxa"/>
            <w:shd w:val="clear" w:color="auto" w:fill="auto"/>
            <w:vAlign w:val="center"/>
          </w:tcPr>
          <w:p>
            <w:pPr>
              <w:pStyle w:val="52"/>
              <w:jc w:val="center"/>
              <w:rPr>
                <w:szCs w:val="21"/>
              </w:rPr>
            </w:pPr>
            <w:r>
              <w:rPr>
                <w:szCs w:val="21"/>
              </w:rPr>
              <w:t>36.4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056" w:type="dxa"/>
            <w:vAlign w:val="center"/>
          </w:tcPr>
          <w:p>
            <w:pPr>
              <w:pStyle w:val="52"/>
              <w:jc w:val="center"/>
              <w:rPr>
                <w:szCs w:val="21"/>
              </w:rPr>
            </w:pPr>
            <w:r>
              <w:rPr>
                <w:szCs w:val="21"/>
              </w:rPr>
              <w:t>66.7</w:t>
            </w:r>
          </w:p>
        </w:tc>
        <w:tc>
          <w:tcPr>
            <w:tcW w:w="1535" w:type="dxa"/>
            <w:vAlign w:val="center"/>
          </w:tcPr>
          <w:p>
            <w:pPr>
              <w:pStyle w:val="52"/>
              <w:jc w:val="center"/>
              <w:rPr>
                <w:szCs w:val="21"/>
              </w:rPr>
            </w:pPr>
            <w:r>
              <w:rPr>
                <w:szCs w:val="21"/>
              </w:rPr>
              <w:t>26.7</w:t>
            </w:r>
          </w:p>
        </w:tc>
        <w:tc>
          <w:tcPr>
            <w:tcW w:w="636" w:type="dxa"/>
            <w:shd w:val="clear" w:color="auto" w:fill="auto"/>
            <w:vAlign w:val="center"/>
          </w:tcPr>
          <w:p>
            <w:pPr>
              <w:pStyle w:val="52"/>
              <w:jc w:val="center"/>
              <w:rPr>
                <w:szCs w:val="21"/>
              </w:rPr>
            </w:pPr>
            <w:r>
              <w:rPr>
                <w:szCs w:val="21"/>
              </w:rPr>
              <w:t>6.7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056" w:type="dxa"/>
            <w:vAlign w:val="center"/>
          </w:tcPr>
          <w:p>
            <w:pPr>
              <w:pStyle w:val="52"/>
              <w:jc w:val="center"/>
              <w:rPr>
                <w:szCs w:val="21"/>
              </w:rPr>
            </w:pPr>
            <w:r>
              <w:rPr>
                <w:szCs w:val="21"/>
              </w:rPr>
              <w:t>50.0</w:t>
            </w:r>
          </w:p>
        </w:tc>
        <w:tc>
          <w:tcPr>
            <w:tcW w:w="1535" w:type="dxa"/>
            <w:vAlign w:val="center"/>
          </w:tcPr>
          <w:p>
            <w:pPr>
              <w:pStyle w:val="52"/>
              <w:jc w:val="center"/>
              <w:rPr>
                <w:szCs w:val="21"/>
              </w:rPr>
            </w:pPr>
            <w:r>
              <w:rPr>
                <w:szCs w:val="21"/>
              </w:rPr>
              <w:t>50.0</w:t>
            </w:r>
          </w:p>
        </w:tc>
        <w:tc>
          <w:tcPr>
            <w:tcW w:w="636" w:type="dxa"/>
            <w:shd w:val="clear" w:color="auto" w:fill="auto"/>
            <w:vAlign w:val="center"/>
          </w:tcPr>
          <w:p>
            <w:pPr>
              <w:pStyle w:val="52"/>
              <w:jc w:val="center"/>
              <w:rPr>
                <w:szCs w:val="21"/>
              </w:rPr>
            </w:pPr>
            <w:r>
              <w:rPr>
                <w:szCs w:val="21"/>
              </w:rPr>
              <w:t>0.0</w:t>
            </w:r>
          </w:p>
        </w:tc>
      </w:tr>
    </w:tbl>
    <w:p>
      <w:pPr>
        <w:pStyle w:val="37"/>
        <w:ind w:firstLine="480"/>
      </w:pPr>
    </w:p>
    <w:p>
      <w:pPr>
        <w:pStyle w:val="67"/>
      </w:pPr>
      <w:bookmarkStart w:id="201" w:name="_Toc470167424"/>
      <w:r>
        <w:rPr>
          <w:rFonts w:hint="eastAsia"/>
        </w:rPr>
        <w:t>5、就业行业</w:t>
      </w:r>
      <w:bookmarkEnd w:id="201"/>
    </w:p>
    <w:p>
      <w:pPr>
        <w:pStyle w:val="70"/>
      </w:pPr>
      <w:bookmarkStart w:id="202" w:name="PO_3423"/>
      <w:bookmarkEnd w:id="202"/>
      <w:r>
        <w:rPr>
          <w:rFonts w:hint="eastAsia"/>
        </w:rPr>
        <w:t>（1）总体情况</w:t>
      </w:r>
    </w:p>
    <w:p>
      <w:pPr>
        <w:pStyle w:val="37"/>
        <w:ind w:firstLine="480"/>
      </w:pPr>
      <w:r>
        <w:rPr>
          <w:rFonts w:hint="eastAsia"/>
        </w:rPr>
        <w:t>总体而言，研究生期望首选与最终落实的三个主要行业为：文化、体育和娱乐业（57.1%，53.6%），教育及科研行业（42.9%，42.9%），其他行业（0.0%，3.6%）。</w:t>
      </w:r>
    </w:p>
    <w:p>
      <w:pPr>
        <w:jc w:val="center"/>
      </w:pPr>
      <w:r>
        <w:rPr>
          <w:rFonts w:hint="eastAsia"/>
        </w:rPr>
        <w:drawing>
          <wp:inline distT="0" distB="0" distL="0" distR="0">
            <wp:extent cx="6315075" cy="2524125"/>
            <wp:effectExtent l="0" t="0" r="0" b="0"/>
            <wp:docPr id="18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59"/>
        <w:spacing w:before="156" w:after="312"/>
      </w:pPr>
      <w:r>
        <w:rPr>
          <w:rFonts w:hint="eastAsia"/>
        </w:rPr>
        <w:t>期望首选与最终落实就业行业</w:t>
      </w:r>
    </w:p>
    <w:p>
      <w:pPr>
        <w:pStyle w:val="53"/>
        <w:spacing w:before="312" w:after="156"/>
      </w:pPr>
      <w:r>
        <w:rPr>
          <w:rFonts w:hint="eastAsia"/>
        </w:rPr>
        <w:t>期望首选与最终落实就业行业</w:t>
      </w:r>
    </w:p>
    <w:tbl>
      <w:tblPr>
        <w:tblStyle w:val="33"/>
        <w:tblW w:w="8465" w:type="dxa"/>
        <w:jc w:val="center"/>
        <w:tblInd w:w="0" w:type="dxa"/>
        <w:tblLayout w:type="fixed"/>
        <w:tblCellMar>
          <w:top w:w="0" w:type="dxa"/>
          <w:left w:w="108" w:type="dxa"/>
          <w:bottom w:w="0" w:type="dxa"/>
          <w:right w:w="108" w:type="dxa"/>
        </w:tblCellMar>
      </w:tblPr>
      <w:tblGrid>
        <w:gridCol w:w="1214"/>
        <w:gridCol w:w="3266"/>
        <w:gridCol w:w="725"/>
        <w:gridCol w:w="1270"/>
        <w:gridCol w:w="714"/>
        <w:gridCol w:w="1276"/>
      </w:tblGrid>
      <w:tr>
        <w:tblPrEx>
          <w:tblLayout w:type="fixed"/>
          <w:tblCellMar>
            <w:top w:w="0" w:type="dxa"/>
            <w:left w:w="108" w:type="dxa"/>
            <w:bottom w:w="0" w:type="dxa"/>
            <w:right w:w="108" w:type="dxa"/>
          </w:tblCellMar>
        </w:tblPrEx>
        <w:trPr>
          <w:trHeight w:val="300" w:hRule="atLeast"/>
          <w:jc w:val="center"/>
        </w:trPr>
        <w:tc>
          <w:tcPr>
            <w:tcW w:w="1214"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pStyle w:val="52"/>
              <w:ind w:firstLine="480"/>
              <w:jc w:val="center"/>
              <w:rPr>
                <w:szCs w:val="20"/>
              </w:rPr>
            </w:pPr>
          </w:p>
        </w:tc>
        <w:tc>
          <w:tcPr>
            <w:tcW w:w="3266" w:type="dxa"/>
            <w:vMerge w:val="restart"/>
            <w:tcBorders>
              <w:top w:val="single" w:color="00B050" w:sz="8" w:space="0"/>
              <w:left w:val="dotted" w:color="00B050" w:sz="8" w:space="0"/>
              <w:right w:val="dotted" w:color="00B050" w:sz="8" w:space="0"/>
            </w:tcBorders>
          </w:tcPr>
          <w:p>
            <w:pPr>
              <w:pStyle w:val="52"/>
              <w:jc w:val="left"/>
            </w:pPr>
          </w:p>
        </w:tc>
        <w:tc>
          <w:tcPr>
            <w:tcW w:w="1995"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rPr>
              <w:t>期望首选</w:t>
            </w:r>
          </w:p>
        </w:tc>
        <w:tc>
          <w:tcPr>
            <w:tcW w:w="1990" w:type="dxa"/>
            <w:gridSpan w:val="2"/>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top w:val="single" w:color="00B050" w:sz="12" w:space="0"/>
              <w:left w:val="single" w:color="00B050" w:sz="8" w:space="0"/>
              <w:bottom w:val="single" w:color="00B050" w:sz="8" w:space="0"/>
              <w:right w:val="dotted" w:color="00B050" w:sz="8" w:space="0"/>
            </w:tcBorders>
            <w:vAlign w:val="center"/>
          </w:tcPr>
          <w:p>
            <w:pPr>
              <w:pStyle w:val="52"/>
              <w:jc w:val="center"/>
              <w:rPr>
                <w:szCs w:val="20"/>
              </w:rPr>
            </w:pPr>
          </w:p>
        </w:tc>
        <w:tc>
          <w:tcPr>
            <w:tcW w:w="3266" w:type="dxa"/>
            <w:vMerge w:val="continue"/>
            <w:tcBorders>
              <w:left w:val="dotted" w:color="00B050" w:sz="8" w:space="0"/>
              <w:bottom w:val="single" w:color="00B050" w:sz="8" w:space="0"/>
              <w:right w:val="dotted" w:color="00B050" w:sz="8" w:space="0"/>
            </w:tcBorders>
          </w:tcPr>
          <w:p>
            <w:pPr>
              <w:pStyle w:val="52"/>
              <w:jc w:val="left"/>
            </w:pPr>
          </w:p>
        </w:tc>
        <w:tc>
          <w:tcPr>
            <w:tcW w:w="725"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w:t>
            </w:r>
          </w:p>
        </w:tc>
        <w:tc>
          <w:tcPr>
            <w:tcW w:w="71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t>N</w:t>
            </w:r>
          </w:p>
        </w:tc>
        <w:tc>
          <w:tcPr>
            <w:tcW w:w="1276" w:type="dxa"/>
            <w:tcBorders>
              <w:top w:val="nil"/>
              <w:left w:val="dotted" w:color="00B050" w:sz="8" w:space="0"/>
              <w:bottom w:val="single" w:color="00B050" w:sz="8" w:space="0"/>
              <w:right w:val="single" w:color="00B050" w:sz="8" w:space="0"/>
            </w:tcBorders>
            <w:shd w:val="clear" w:color="auto" w:fill="auto"/>
            <w:vAlign w:val="center"/>
          </w:tcPr>
          <w:p>
            <w:pPr>
              <w:pStyle w:val="52"/>
              <w:jc w:val="center"/>
              <w:rPr>
                <w:szCs w:val="20"/>
              </w:rPr>
            </w:pPr>
            <w:r>
              <w:t>%</w:t>
            </w:r>
          </w:p>
        </w:tc>
      </w:tr>
      <w:tr>
        <w:tblPrEx>
          <w:tblLayout w:type="fixed"/>
          <w:tblCellMar>
            <w:top w:w="0" w:type="dxa"/>
            <w:left w:w="108" w:type="dxa"/>
            <w:bottom w:w="0" w:type="dxa"/>
            <w:right w:w="108" w:type="dxa"/>
          </w:tblCellMar>
        </w:tblPrEx>
        <w:trPr>
          <w:trHeight w:val="285" w:hRule="atLeast"/>
          <w:jc w:val="center"/>
        </w:trPr>
        <w:tc>
          <w:tcPr>
            <w:tcW w:w="1214" w:type="dxa"/>
            <w:vMerge w:val="restart"/>
            <w:tcBorders>
              <w:top w:val="single" w:color="00B050" w:sz="8" w:space="0"/>
              <w:left w:val="single" w:color="00B050" w:sz="8" w:space="0"/>
              <w:right w:val="dotted" w:color="00B050" w:sz="8" w:space="0"/>
            </w:tcBorders>
            <w:shd w:val="clear" w:color="auto" w:fill="auto"/>
            <w:vAlign w:val="center"/>
          </w:tcPr>
          <w:p>
            <w:pPr>
              <w:pStyle w:val="52"/>
              <w:jc w:val="center"/>
              <w:rPr>
                <w:szCs w:val="20"/>
              </w:rPr>
            </w:pPr>
            <w:r>
              <w:rPr>
                <w:rFonts w:hint="eastAsia"/>
              </w:rPr>
              <w:t>第三产业</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教育及科研行业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12</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42.9</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t>12</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t>42.9</w:t>
            </w:r>
          </w:p>
        </w:tc>
      </w:tr>
      <w:tr>
        <w:tblPrEx>
          <w:tblLayout w:type="fixed"/>
          <w:tblCellMar>
            <w:top w:w="0" w:type="dxa"/>
            <w:left w:w="108" w:type="dxa"/>
            <w:bottom w:w="0" w:type="dxa"/>
            <w:right w:w="108" w:type="dxa"/>
          </w:tblCellMar>
        </w:tblPrEx>
        <w:trPr>
          <w:trHeight w:val="285" w:hRule="atLeast"/>
          <w:jc w:val="center"/>
        </w:trPr>
        <w:tc>
          <w:tcPr>
            <w:tcW w:w="1214" w:type="dxa"/>
            <w:vMerge w:val="continue"/>
            <w:tcBorders>
              <w:left w:val="single" w:color="00B050" w:sz="8" w:space="0"/>
              <w:bottom w:val="single" w:color="00B050" w:sz="8" w:space="0"/>
              <w:right w:val="dotted" w:color="00B050" w:sz="8" w:space="0"/>
            </w:tcBorders>
            <w:shd w:val="clear" w:color="auto" w:fill="auto"/>
            <w:vAlign w:val="center"/>
          </w:tcPr>
          <w:p>
            <w:pPr>
              <w:pStyle w:val="52"/>
              <w:jc w:val="center"/>
            </w:pP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文化、体育和娱乐业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16</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57.1</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15</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53.6</w:t>
            </w:r>
          </w:p>
        </w:tc>
      </w:tr>
      <w:tr>
        <w:tblPrEx>
          <w:tblLayout w:type="fixed"/>
          <w:tblCellMar>
            <w:top w:w="0" w:type="dxa"/>
            <w:left w:w="108" w:type="dxa"/>
            <w:bottom w:w="0" w:type="dxa"/>
            <w:right w:w="108" w:type="dxa"/>
          </w:tblCellMar>
        </w:tblPrEx>
        <w:trPr>
          <w:trHeight w:val="285" w:hRule="atLeast"/>
          <w:jc w:val="center"/>
        </w:trPr>
        <w:tc>
          <w:tcPr>
            <w:tcW w:w="1214" w:type="dxa"/>
            <w:tcBorders>
              <w:left w:val="single" w:color="00B050" w:sz="8" w:space="0"/>
              <w:bottom w:val="single" w:color="00B050" w:sz="8" w:space="0"/>
              <w:right w:val="dotted" w:color="00B050" w:sz="8" w:space="0"/>
            </w:tcBorders>
            <w:shd w:val="clear" w:color="auto" w:fill="auto"/>
            <w:vAlign w:val="center"/>
          </w:tcPr>
          <w:p>
            <w:pPr>
              <w:pStyle w:val="52"/>
              <w:jc w:val="center"/>
            </w:pPr>
            <w:r>
              <w:rPr>
                <w:rFonts w:hint="eastAsia"/>
              </w:rPr>
              <w:t>其他</w:t>
            </w:r>
          </w:p>
        </w:tc>
        <w:tc>
          <w:tcPr>
            <w:tcW w:w="3266" w:type="dxa"/>
            <w:tcBorders>
              <w:top w:val="single" w:color="00B050" w:sz="8" w:space="0"/>
              <w:left w:val="dotted" w:color="00B050" w:sz="8" w:space="0"/>
              <w:bottom w:val="single" w:color="00B050" w:sz="8" w:space="0"/>
              <w:right w:val="dotted" w:color="00B050" w:sz="8" w:space="0"/>
            </w:tcBorders>
          </w:tcPr>
          <w:p>
            <w:pPr>
              <w:pStyle w:val="52"/>
              <w:jc w:val="left"/>
            </w:pPr>
            <w:r>
              <w:rPr>
                <w:rFonts w:hint="eastAsia"/>
              </w:rPr>
              <w:t>其他行业</w:t>
            </w:r>
          </w:p>
        </w:tc>
        <w:tc>
          <w:tcPr>
            <w:tcW w:w="725"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w:t>
            </w:r>
          </w:p>
        </w:tc>
        <w:tc>
          <w:tcPr>
            <w:tcW w:w="127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0.0</w:t>
            </w:r>
          </w:p>
        </w:tc>
        <w:tc>
          <w:tcPr>
            <w:tcW w:w="71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t>1</w:t>
            </w:r>
          </w:p>
        </w:tc>
        <w:tc>
          <w:tcPr>
            <w:tcW w:w="1276" w:type="dxa"/>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pPr>
            <w:r>
              <w:t>3.6</w:t>
            </w:r>
          </w:p>
        </w:tc>
      </w:tr>
    </w:tbl>
    <w:p>
      <w:pPr>
        <w:pStyle w:val="70"/>
      </w:pPr>
      <w:r>
        <w:rPr>
          <w:rFonts w:hint="eastAsia"/>
        </w:rPr>
        <w:t>（2）不同专业研究生就业行业</w:t>
      </w:r>
    </w:p>
    <w:p>
      <w:pPr>
        <w:pStyle w:val="37"/>
        <w:ind w:firstLine="480"/>
      </w:pPr>
      <w:r>
        <w:rPr>
          <w:rFonts w:hint="eastAsia"/>
        </w:rPr>
        <w:t>就不同专业而言，研究生期望首选文化、体育和娱乐业比例最高的专业为戏剧与影视学，最终落实比例最高的专业为戏剧与影视学；研究生期望首选教育及科研行业比例最高的专业为艺术学理论，最终落实比例最高的专业为艺术学理论。</w:t>
      </w:r>
    </w:p>
    <w:p>
      <w:pPr>
        <w:pStyle w:val="53"/>
        <w:spacing w:before="312" w:after="156"/>
      </w:pPr>
      <w:r>
        <w:rPr>
          <w:rFonts w:hint="eastAsia"/>
        </w:rPr>
        <w:t>不同专业研究生期望首选与最终落实就业行业</w:t>
      </w:r>
    </w:p>
    <w:tbl>
      <w:tblPr>
        <w:tblStyle w:val="33"/>
        <w:tblW w:w="780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1476"/>
        <w:gridCol w:w="426"/>
        <w:gridCol w:w="1686"/>
        <w:gridCol w:w="210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restart"/>
            <w:tcBorders>
              <w:right w:val="dotted" w:color="00B050" w:sz="8" w:space="0"/>
            </w:tcBorders>
            <w:shd w:val="clear" w:color="auto" w:fill="auto"/>
            <w:vAlign w:val="center"/>
          </w:tcPr>
          <w:p>
            <w:pPr>
              <w:pStyle w:val="52"/>
              <w:ind w:firstLine="480"/>
              <w:jc w:val="center"/>
              <w:rPr>
                <w:szCs w:val="20"/>
              </w:rPr>
            </w:pPr>
          </w:p>
        </w:tc>
        <w:tc>
          <w:tcPr>
            <w:tcW w:w="1476" w:type="dxa"/>
            <w:vMerge w:val="restart"/>
            <w:tcBorders>
              <w:left w:val="dotted" w:color="00B050" w:sz="8" w:space="0"/>
              <w:right w:val="dotted" w:color="00B050" w:sz="8" w:space="0"/>
            </w:tcBorders>
            <w:shd w:val="clear" w:color="auto" w:fill="auto"/>
            <w:vAlign w:val="center"/>
          </w:tcPr>
          <w:p>
            <w:pPr>
              <w:pStyle w:val="52"/>
              <w:jc w:val="center"/>
              <w:rPr>
                <w:szCs w:val="21"/>
              </w:rPr>
            </w:pPr>
            <w:r>
              <w:rPr>
                <w:rFonts w:hint="eastAsia"/>
                <w:szCs w:val="21"/>
              </w:rPr>
              <w:t>专业</w:t>
            </w:r>
          </w:p>
        </w:tc>
        <w:tc>
          <w:tcPr>
            <w:tcW w:w="426" w:type="dxa"/>
            <w:vMerge w:val="restart"/>
            <w:tcBorders>
              <w:left w:val="dotted" w:color="00B050" w:sz="8" w:space="0"/>
            </w:tcBorders>
            <w:shd w:val="clear" w:color="auto" w:fill="auto"/>
            <w:vAlign w:val="center"/>
          </w:tcPr>
          <w:p>
            <w:pPr>
              <w:pStyle w:val="52"/>
              <w:jc w:val="center"/>
              <w:rPr>
                <w:szCs w:val="21"/>
              </w:rPr>
            </w:pPr>
            <w:r>
              <w:rPr>
                <w:szCs w:val="21"/>
              </w:rPr>
              <w:t>N</w:t>
            </w:r>
          </w:p>
        </w:tc>
        <w:tc>
          <w:tcPr>
            <w:tcW w:w="4848" w:type="dxa"/>
            <w:gridSpan w:val="3"/>
          </w:tcPr>
          <w:p>
            <w:pPr>
              <w:pStyle w:val="52"/>
              <w:jc w:val="center"/>
              <w:rPr>
                <w:szCs w:val="21"/>
              </w:rPr>
            </w:pPr>
            <w:r>
              <w:rPr>
                <w:rFonts w:hint="eastAsia"/>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56" w:type="dxa"/>
            <w:vMerge w:val="continue"/>
            <w:tcBorders>
              <w:right w:val="dotted" w:color="00B050" w:sz="8" w:space="0"/>
            </w:tcBorders>
            <w:shd w:val="clear" w:color="auto" w:fill="auto"/>
            <w:vAlign w:val="center"/>
          </w:tcPr>
          <w:p>
            <w:pPr>
              <w:pStyle w:val="52"/>
              <w:jc w:val="center"/>
              <w:rPr>
                <w:szCs w:val="20"/>
              </w:rPr>
            </w:pPr>
          </w:p>
        </w:tc>
        <w:tc>
          <w:tcPr>
            <w:tcW w:w="1476" w:type="dxa"/>
            <w:vMerge w:val="continue"/>
            <w:tcBorders>
              <w:left w:val="dotted" w:color="00B050" w:sz="8" w:space="0"/>
              <w:right w:val="dotted" w:color="00B050" w:sz="8" w:space="0"/>
            </w:tcBorders>
            <w:shd w:val="clear" w:color="auto" w:fill="auto"/>
            <w:vAlign w:val="center"/>
          </w:tcPr>
          <w:p>
            <w:pPr>
              <w:pStyle w:val="52"/>
              <w:jc w:val="center"/>
              <w:rPr>
                <w:szCs w:val="20"/>
              </w:rPr>
            </w:pPr>
          </w:p>
        </w:tc>
        <w:tc>
          <w:tcPr>
            <w:tcW w:w="426" w:type="dxa"/>
            <w:vMerge w:val="continue"/>
            <w:tcBorders>
              <w:left w:val="dotted" w:color="00B050" w:sz="8" w:space="0"/>
            </w:tcBorders>
            <w:shd w:val="clear" w:color="auto" w:fill="auto"/>
            <w:vAlign w:val="center"/>
          </w:tcPr>
          <w:p>
            <w:pPr>
              <w:pStyle w:val="52"/>
              <w:jc w:val="center"/>
              <w:rPr>
                <w:szCs w:val="20"/>
              </w:rPr>
            </w:pPr>
          </w:p>
        </w:tc>
        <w:tc>
          <w:tcPr>
            <w:tcW w:w="1686" w:type="dxa"/>
            <w:vAlign w:val="center"/>
          </w:tcPr>
          <w:p>
            <w:pPr>
              <w:pStyle w:val="52"/>
              <w:jc w:val="center"/>
              <w:rPr>
                <w:szCs w:val="21"/>
              </w:rPr>
            </w:pPr>
            <w:r>
              <w:rPr>
                <w:rFonts w:hint="eastAsia"/>
                <w:szCs w:val="21"/>
              </w:rPr>
              <w:t>教育及科研行业</w:t>
            </w:r>
          </w:p>
        </w:tc>
        <w:tc>
          <w:tcPr>
            <w:tcW w:w="2106" w:type="dxa"/>
            <w:vAlign w:val="center"/>
          </w:tcPr>
          <w:p>
            <w:pPr>
              <w:pStyle w:val="52"/>
              <w:jc w:val="center"/>
              <w:rPr>
                <w:szCs w:val="21"/>
              </w:rPr>
            </w:pPr>
            <w:r>
              <w:rPr>
                <w:rFonts w:hint="eastAsia"/>
                <w:szCs w:val="21"/>
              </w:rPr>
              <w:t>文化、体育和娱乐业</w:t>
            </w:r>
          </w:p>
        </w:tc>
        <w:tc>
          <w:tcPr>
            <w:tcW w:w="1056" w:type="dxa"/>
            <w:shd w:val="clear" w:color="auto" w:fill="auto"/>
            <w:vAlign w:val="center"/>
          </w:tcPr>
          <w:p>
            <w:pPr>
              <w:pStyle w:val="52"/>
              <w:jc w:val="center"/>
              <w:rPr>
                <w:szCs w:val="20"/>
              </w:rPr>
            </w:pPr>
            <w:r>
              <w:rPr>
                <w:rFonts w:hint="eastAsia"/>
                <w:szCs w:val="21"/>
              </w:rPr>
              <w:t>其他行业</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rPr>
                <w:szCs w:val="20"/>
              </w:rPr>
            </w:pPr>
            <w:r>
              <w:rPr>
                <w:rFonts w:hint="eastAsia"/>
                <w:szCs w:val="20"/>
              </w:rPr>
              <w:t>期望首选</w:t>
            </w:r>
          </w:p>
        </w:tc>
        <w:tc>
          <w:tcPr>
            <w:tcW w:w="1476" w:type="dxa"/>
            <w:shd w:val="clear" w:color="auto" w:fill="auto"/>
            <w:vAlign w:val="center"/>
          </w:tcPr>
          <w:p>
            <w:pPr>
              <w:pStyle w:val="52"/>
              <w:rPr>
                <w:szCs w:val="20"/>
              </w:rPr>
            </w:pPr>
            <w:r>
              <w:rPr>
                <w:rFonts w:hint="eastAsia"/>
                <w:szCs w:val="21"/>
              </w:rPr>
              <w:t>戏剧</w:t>
            </w:r>
          </w:p>
        </w:tc>
        <w:tc>
          <w:tcPr>
            <w:tcW w:w="426" w:type="dxa"/>
            <w:shd w:val="clear" w:color="auto" w:fill="auto"/>
            <w:vAlign w:val="center"/>
          </w:tcPr>
          <w:p>
            <w:pPr>
              <w:pStyle w:val="52"/>
              <w:jc w:val="center"/>
              <w:rPr>
                <w:szCs w:val="20"/>
              </w:rPr>
            </w:pPr>
            <w:r>
              <w:rPr>
                <w:szCs w:val="21"/>
              </w:rPr>
              <w:t>11</w:t>
            </w:r>
          </w:p>
        </w:tc>
        <w:tc>
          <w:tcPr>
            <w:tcW w:w="1686" w:type="dxa"/>
            <w:vAlign w:val="center"/>
          </w:tcPr>
          <w:p>
            <w:pPr>
              <w:pStyle w:val="52"/>
              <w:jc w:val="center"/>
              <w:rPr>
                <w:szCs w:val="21"/>
              </w:rPr>
            </w:pPr>
            <w:r>
              <w:rPr>
                <w:szCs w:val="21"/>
              </w:rPr>
              <w:t>45.5</w:t>
            </w:r>
          </w:p>
        </w:tc>
        <w:tc>
          <w:tcPr>
            <w:tcW w:w="2106" w:type="dxa"/>
            <w:vAlign w:val="center"/>
          </w:tcPr>
          <w:p>
            <w:pPr>
              <w:pStyle w:val="52"/>
              <w:jc w:val="center"/>
              <w:rPr>
                <w:szCs w:val="21"/>
              </w:rPr>
            </w:pPr>
            <w:r>
              <w:rPr>
                <w:szCs w:val="21"/>
              </w:rPr>
              <w:t>54.5</w:t>
            </w:r>
          </w:p>
        </w:tc>
        <w:tc>
          <w:tcPr>
            <w:tcW w:w="1056" w:type="dxa"/>
            <w:shd w:val="clear" w:color="auto" w:fill="auto"/>
            <w:vAlign w:val="center"/>
          </w:tcPr>
          <w:p>
            <w:pPr>
              <w:pStyle w:val="52"/>
              <w:jc w:val="center"/>
              <w:rPr>
                <w:szCs w:val="20"/>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686" w:type="dxa"/>
            <w:vAlign w:val="center"/>
          </w:tcPr>
          <w:p>
            <w:pPr>
              <w:pStyle w:val="52"/>
              <w:jc w:val="center"/>
              <w:rPr>
                <w:szCs w:val="21"/>
              </w:rPr>
            </w:pPr>
            <w:r>
              <w:rPr>
                <w:szCs w:val="21"/>
              </w:rPr>
              <w:t>40.0</w:t>
            </w:r>
          </w:p>
        </w:tc>
        <w:tc>
          <w:tcPr>
            <w:tcW w:w="2106" w:type="dxa"/>
            <w:vAlign w:val="center"/>
          </w:tcPr>
          <w:p>
            <w:pPr>
              <w:pStyle w:val="52"/>
              <w:jc w:val="center"/>
              <w:rPr>
                <w:szCs w:val="21"/>
              </w:rPr>
            </w:pPr>
            <w:r>
              <w:rPr>
                <w:szCs w:val="21"/>
              </w:rPr>
              <w:t>60.0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686" w:type="dxa"/>
            <w:vAlign w:val="center"/>
          </w:tcPr>
          <w:p>
            <w:pPr>
              <w:pStyle w:val="52"/>
              <w:jc w:val="center"/>
              <w:rPr>
                <w:szCs w:val="21"/>
              </w:rPr>
            </w:pPr>
            <w:r>
              <w:rPr>
                <w:szCs w:val="21"/>
              </w:rPr>
              <w:t>50.0</w:t>
            </w:r>
          </w:p>
        </w:tc>
        <w:tc>
          <w:tcPr>
            <w:tcW w:w="2106" w:type="dxa"/>
            <w:vAlign w:val="center"/>
          </w:tcPr>
          <w:p>
            <w:pPr>
              <w:pStyle w:val="52"/>
              <w:jc w:val="center"/>
              <w:rPr>
                <w:szCs w:val="21"/>
              </w:rPr>
            </w:pPr>
            <w:r>
              <w:rPr>
                <w:szCs w:val="21"/>
              </w:rPr>
              <w:t>50.0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1056" w:type="dxa"/>
            <w:vMerge w:val="restart"/>
            <w:vAlign w:val="center"/>
          </w:tcPr>
          <w:p>
            <w:pPr>
              <w:pStyle w:val="52"/>
              <w:rPr>
                <w:szCs w:val="20"/>
              </w:rPr>
            </w:pPr>
            <w:r>
              <w:rPr>
                <w:rFonts w:hint="eastAsia"/>
                <w:szCs w:val="20"/>
              </w:rPr>
              <w:t>最终落实</w:t>
            </w:r>
          </w:p>
        </w:tc>
        <w:tc>
          <w:tcPr>
            <w:tcW w:w="1476" w:type="dxa"/>
            <w:shd w:val="clear" w:color="auto" w:fill="auto"/>
            <w:vAlign w:val="center"/>
          </w:tcPr>
          <w:p>
            <w:pPr>
              <w:pStyle w:val="52"/>
              <w:rPr>
                <w:szCs w:val="21"/>
              </w:rPr>
            </w:pPr>
            <w:r>
              <w:rPr>
                <w:rFonts w:hint="eastAsia"/>
                <w:szCs w:val="21"/>
              </w:rPr>
              <w:t>戏剧</w:t>
            </w:r>
          </w:p>
        </w:tc>
        <w:tc>
          <w:tcPr>
            <w:tcW w:w="426" w:type="dxa"/>
            <w:shd w:val="clear" w:color="auto" w:fill="auto"/>
            <w:vAlign w:val="center"/>
          </w:tcPr>
          <w:p>
            <w:pPr>
              <w:pStyle w:val="52"/>
              <w:jc w:val="center"/>
              <w:rPr>
                <w:szCs w:val="21"/>
              </w:rPr>
            </w:pPr>
            <w:r>
              <w:rPr>
                <w:szCs w:val="21"/>
              </w:rPr>
              <w:t>11</w:t>
            </w:r>
          </w:p>
        </w:tc>
        <w:tc>
          <w:tcPr>
            <w:tcW w:w="1686" w:type="dxa"/>
            <w:vAlign w:val="center"/>
          </w:tcPr>
          <w:p>
            <w:pPr>
              <w:pStyle w:val="52"/>
              <w:jc w:val="center"/>
              <w:rPr>
                <w:szCs w:val="21"/>
              </w:rPr>
            </w:pPr>
            <w:r>
              <w:rPr>
                <w:szCs w:val="21"/>
              </w:rPr>
              <w:t>45.5</w:t>
            </w:r>
          </w:p>
        </w:tc>
        <w:tc>
          <w:tcPr>
            <w:tcW w:w="2106" w:type="dxa"/>
            <w:vAlign w:val="center"/>
          </w:tcPr>
          <w:p>
            <w:pPr>
              <w:pStyle w:val="52"/>
              <w:jc w:val="center"/>
              <w:rPr>
                <w:szCs w:val="21"/>
              </w:rPr>
            </w:pPr>
            <w:r>
              <w:rPr>
                <w:szCs w:val="21"/>
              </w:rPr>
              <w:t>45.5</w:t>
            </w:r>
          </w:p>
        </w:tc>
        <w:tc>
          <w:tcPr>
            <w:tcW w:w="1056" w:type="dxa"/>
            <w:shd w:val="clear" w:color="auto" w:fill="auto"/>
            <w:vAlign w:val="center"/>
          </w:tcPr>
          <w:p>
            <w:pPr>
              <w:pStyle w:val="52"/>
              <w:jc w:val="center"/>
              <w:rPr>
                <w:szCs w:val="21"/>
              </w:rPr>
            </w:pPr>
            <w:r>
              <w:rPr>
                <w:szCs w:val="21"/>
              </w:rPr>
              <w:t>9.1</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戏剧与影视学</w:t>
            </w:r>
          </w:p>
        </w:tc>
        <w:tc>
          <w:tcPr>
            <w:tcW w:w="426" w:type="dxa"/>
            <w:shd w:val="clear" w:color="auto" w:fill="auto"/>
            <w:vAlign w:val="center"/>
          </w:tcPr>
          <w:p>
            <w:pPr>
              <w:pStyle w:val="52"/>
              <w:jc w:val="center"/>
              <w:rPr>
                <w:szCs w:val="21"/>
              </w:rPr>
            </w:pPr>
            <w:r>
              <w:rPr>
                <w:szCs w:val="21"/>
              </w:rPr>
              <w:t>15</w:t>
            </w:r>
          </w:p>
        </w:tc>
        <w:tc>
          <w:tcPr>
            <w:tcW w:w="1686" w:type="dxa"/>
            <w:vAlign w:val="center"/>
          </w:tcPr>
          <w:p>
            <w:pPr>
              <w:pStyle w:val="52"/>
              <w:jc w:val="center"/>
              <w:rPr>
                <w:szCs w:val="21"/>
              </w:rPr>
            </w:pPr>
            <w:r>
              <w:rPr>
                <w:szCs w:val="21"/>
              </w:rPr>
              <w:t>40.0</w:t>
            </w:r>
          </w:p>
        </w:tc>
        <w:tc>
          <w:tcPr>
            <w:tcW w:w="2106" w:type="dxa"/>
            <w:vAlign w:val="center"/>
          </w:tcPr>
          <w:p>
            <w:pPr>
              <w:pStyle w:val="52"/>
              <w:jc w:val="center"/>
              <w:rPr>
                <w:szCs w:val="21"/>
              </w:rPr>
            </w:pPr>
            <w:r>
              <w:rPr>
                <w:szCs w:val="21"/>
              </w:rPr>
              <w:t>60.0</w:t>
            </w:r>
          </w:p>
        </w:tc>
        <w:tc>
          <w:tcPr>
            <w:tcW w:w="1056" w:type="dxa"/>
            <w:shd w:val="clear" w:color="auto" w:fill="auto"/>
            <w:vAlign w:val="center"/>
          </w:tcPr>
          <w:p>
            <w:pPr>
              <w:pStyle w:val="52"/>
              <w:jc w:val="center"/>
              <w:rPr>
                <w:szCs w:val="21"/>
              </w:rPr>
            </w:pPr>
            <w:r>
              <w:rPr>
                <w:szCs w:val="21"/>
              </w:rPr>
              <w:t>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rPr>
                <w:szCs w:val="20"/>
              </w:rPr>
            </w:pPr>
          </w:p>
        </w:tc>
        <w:tc>
          <w:tcPr>
            <w:tcW w:w="1476" w:type="dxa"/>
            <w:shd w:val="clear" w:color="auto" w:fill="auto"/>
            <w:vAlign w:val="center"/>
          </w:tcPr>
          <w:p>
            <w:pPr>
              <w:pStyle w:val="52"/>
              <w:rPr>
                <w:szCs w:val="21"/>
              </w:rPr>
            </w:pPr>
            <w:r>
              <w:rPr>
                <w:rFonts w:hint="eastAsia"/>
                <w:szCs w:val="21"/>
              </w:rPr>
              <w:t>艺术学理论</w:t>
            </w:r>
          </w:p>
        </w:tc>
        <w:tc>
          <w:tcPr>
            <w:tcW w:w="426" w:type="dxa"/>
            <w:shd w:val="clear" w:color="auto" w:fill="auto"/>
            <w:vAlign w:val="center"/>
          </w:tcPr>
          <w:p>
            <w:pPr>
              <w:pStyle w:val="52"/>
              <w:jc w:val="center"/>
              <w:rPr>
                <w:szCs w:val="21"/>
              </w:rPr>
            </w:pPr>
            <w:r>
              <w:rPr>
                <w:szCs w:val="21"/>
              </w:rPr>
              <w:t>2</w:t>
            </w:r>
          </w:p>
        </w:tc>
        <w:tc>
          <w:tcPr>
            <w:tcW w:w="1686" w:type="dxa"/>
            <w:vAlign w:val="center"/>
          </w:tcPr>
          <w:p>
            <w:pPr>
              <w:pStyle w:val="52"/>
              <w:jc w:val="center"/>
              <w:rPr>
                <w:szCs w:val="21"/>
              </w:rPr>
            </w:pPr>
            <w:r>
              <w:rPr>
                <w:szCs w:val="21"/>
              </w:rPr>
              <w:t>50.0</w:t>
            </w:r>
          </w:p>
        </w:tc>
        <w:tc>
          <w:tcPr>
            <w:tcW w:w="2106" w:type="dxa"/>
            <w:vAlign w:val="center"/>
          </w:tcPr>
          <w:p>
            <w:pPr>
              <w:pStyle w:val="52"/>
              <w:jc w:val="center"/>
              <w:rPr>
                <w:szCs w:val="21"/>
              </w:rPr>
            </w:pPr>
            <w:r>
              <w:rPr>
                <w:szCs w:val="21"/>
              </w:rPr>
              <w:t>50.0</w:t>
            </w:r>
          </w:p>
        </w:tc>
        <w:tc>
          <w:tcPr>
            <w:tcW w:w="1056" w:type="dxa"/>
            <w:shd w:val="clear" w:color="auto" w:fill="auto"/>
            <w:vAlign w:val="center"/>
          </w:tcPr>
          <w:p>
            <w:pPr>
              <w:pStyle w:val="52"/>
              <w:jc w:val="center"/>
              <w:rPr>
                <w:szCs w:val="21"/>
              </w:rPr>
            </w:pPr>
            <w:r>
              <w:rPr>
                <w:szCs w:val="21"/>
              </w:rPr>
              <w:t>0.0</w:t>
            </w:r>
          </w:p>
        </w:tc>
      </w:tr>
    </w:tbl>
    <w:p>
      <w:pPr>
        <w:pStyle w:val="37"/>
        <w:ind w:firstLine="0" w:firstLineChars="0"/>
      </w:pPr>
    </w:p>
    <w:p>
      <w:pPr>
        <w:pStyle w:val="67"/>
      </w:pPr>
      <w:bookmarkStart w:id="203" w:name="_Toc470167425"/>
      <w:r>
        <w:rPr>
          <w:rFonts w:hint="eastAsia"/>
        </w:rPr>
        <w:t>6、年薪</w:t>
      </w:r>
      <w:bookmarkEnd w:id="203"/>
    </w:p>
    <w:p>
      <w:pPr>
        <w:pStyle w:val="70"/>
      </w:pPr>
      <w:bookmarkStart w:id="204" w:name="PO_3424"/>
      <w:bookmarkEnd w:id="204"/>
      <w:r>
        <w:rPr>
          <w:rFonts w:hint="eastAsia"/>
        </w:rPr>
        <w:t>（1）总体情况</w:t>
      </w:r>
    </w:p>
    <w:p>
      <w:pPr>
        <w:pStyle w:val="37"/>
        <w:ind w:firstLine="480"/>
      </w:pPr>
      <w:r>
        <w:rPr>
          <w:rFonts w:hint="eastAsia"/>
        </w:rPr>
        <w:t>就总体而言，研究生期望工作转正后平均年薪11.82万元，而最终落实的平均年薪为9.85万元，低于期望年薪。</w:t>
      </w:r>
    </w:p>
    <w:p>
      <w:pPr>
        <w:jc w:val="center"/>
      </w:pPr>
      <w:r>
        <w:rPr>
          <w:rFonts w:hint="eastAsia"/>
        </w:rPr>
        <w:drawing>
          <wp:inline distT="0" distB="0" distL="0" distR="0">
            <wp:extent cx="6124575" cy="3077210"/>
            <wp:effectExtent l="19050" t="0" r="9525" b="8890"/>
            <wp:docPr id="1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59"/>
        <w:spacing w:before="156" w:after="312"/>
      </w:pPr>
      <w:r>
        <w:rPr>
          <w:rFonts w:hint="eastAsia"/>
        </w:rPr>
        <w:t>期望与落实年薪（万元）</w:t>
      </w:r>
    </w:p>
    <w:p>
      <w:pPr>
        <w:pStyle w:val="53"/>
        <w:spacing w:before="312" w:after="156"/>
      </w:pPr>
      <w:r>
        <w:rPr>
          <w:rFonts w:hint="eastAsia"/>
        </w:rPr>
        <w:t>期望与落实年薪（万元）</w:t>
      </w:r>
    </w:p>
    <w:tbl>
      <w:tblPr>
        <w:tblStyle w:val="33"/>
        <w:tblW w:w="512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80"/>
        <w:gridCol w:w="1080"/>
        <w:gridCol w:w="979"/>
        <w:gridCol w:w="992"/>
        <w:gridCol w:w="993"/>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1080"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szCs w:val="18"/>
              </w:rPr>
              <w:t>N</w:t>
            </w:r>
          </w:p>
        </w:tc>
        <w:tc>
          <w:tcPr>
            <w:tcW w:w="979" w:type="dxa"/>
            <w:shd w:val="clear" w:color="auto" w:fill="auto"/>
            <w:vAlign w:val="center"/>
          </w:tcPr>
          <w:p>
            <w:pPr>
              <w:pStyle w:val="52"/>
              <w:jc w:val="center"/>
              <w:rPr>
                <w:szCs w:val="20"/>
              </w:rPr>
            </w:pPr>
            <w:r>
              <w:rPr>
                <w:rFonts w:hint="eastAsia"/>
                <w:szCs w:val="18"/>
              </w:rPr>
              <w:t>均值</w:t>
            </w:r>
          </w:p>
        </w:tc>
        <w:tc>
          <w:tcPr>
            <w:tcW w:w="992" w:type="dxa"/>
            <w:shd w:val="clear" w:color="auto" w:fill="auto"/>
            <w:vAlign w:val="center"/>
          </w:tcPr>
          <w:p>
            <w:pPr>
              <w:pStyle w:val="52"/>
              <w:jc w:val="center"/>
              <w:rPr>
                <w:szCs w:val="20"/>
              </w:rPr>
            </w:pPr>
            <w:r>
              <w:rPr>
                <w:rFonts w:hint="eastAsia"/>
                <w:szCs w:val="18"/>
              </w:rPr>
              <w:t>标准差</w:t>
            </w:r>
          </w:p>
        </w:tc>
        <w:tc>
          <w:tcPr>
            <w:tcW w:w="993" w:type="dxa"/>
            <w:vAlign w:val="center"/>
          </w:tcPr>
          <w:p>
            <w:pPr>
              <w:pStyle w:val="52"/>
              <w:jc w:val="center"/>
              <w:rPr>
                <w:szCs w:val="18"/>
              </w:rPr>
            </w:pPr>
            <w:r>
              <w:rPr>
                <w:rFonts w:hint="eastAsia"/>
                <w:szCs w:val="18"/>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rPr>
              <w:t>期望年薪</w:t>
            </w:r>
          </w:p>
        </w:tc>
        <w:tc>
          <w:tcPr>
            <w:tcW w:w="1080" w:type="dxa"/>
            <w:shd w:val="clear" w:color="auto" w:fill="auto"/>
            <w:vAlign w:val="center"/>
          </w:tcPr>
          <w:p>
            <w:pPr>
              <w:pStyle w:val="52"/>
              <w:jc w:val="center"/>
              <w:rPr>
                <w:szCs w:val="20"/>
              </w:rPr>
            </w:pPr>
            <w:r>
              <w:rPr>
                <w:szCs w:val="18"/>
              </w:rPr>
              <w:t>28</w:t>
            </w:r>
          </w:p>
        </w:tc>
        <w:tc>
          <w:tcPr>
            <w:tcW w:w="979" w:type="dxa"/>
            <w:shd w:val="clear" w:color="auto" w:fill="auto"/>
            <w:vAlign w:val="center"/>
          </w:tcPr>
          <w:p>
            <w:pPr>
              <w:pStyle w:val="52"/>
              <w:jc w:val="center"/>
              <w:rPr>
                <w:szCs w:val="20"/>
              </w:rPr>
            </w:pPr>
            <w:r>
              <w:rPr>
                <w:szCs w:val="18"/>
              </w:rPr>
              <w:t>11.82</w:t>
            </w:r>
          </w:p>
        </w:tc>
        <w:tc>
          <w:tcPr>
            <w:tcW w:w="992" w:type="dxa"/>
            <w:shd w:val="clear" w:color="auto" w:fill="auto"/>
            <w:vAlign w:val="center"/>
          </w:tcPr>
          <w:p>
            <w:pPr>
              <w:pStyle w:val="52"/>
              <w:jc w:val="center"/>
              <w:rPr>
                <w:szCs w:val="20"/>
              </w:rPr>
            </w:pPr>
            <w:r>
              <w:rPr>
                <w:szCs w:val="18"/>
              </w:rPr>
              <w:t>9.23</w:t>
            </w:r>
          </w:p>
        </w:tc>
        <w:tc>
          <w:tcPr>
            <w:tcW w:w="993" w:type="dxa"/>
            <w:vAlign w:val="center"/>
          </w:tcPr>
          <w:p>
            <w:pPr>
              <w:pStyle w:val="52"/>
              <w:jc w:val="center"/>
              <w:rPr>
                <w:szCs w:val="18"/>
              </w:rPr>
            </w:pPr>
            <w:r>
              <w:rPr>
                <w:szCs w:val="18"/>
              </w:rPr>
              <w:t>10.00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52"/>
              <w:rPr>
                <w:szCs w:val="20"/>
              </w:rPr>
            </w:pPr>
            <w:r>
              <w:rPr>
                <w:rFonts w:hint="eastAsia"/>
                <w:szCs w:val="18"/>
              </w:rPr>
              <w:t>最终落实</w:t>
            </w:r>
          </w:p>
        </w:tc>
        <w:tc>
          <w:tcPr>
            <w:tcW w:w="1080" w:type="dxa"/>
            <w:shd w:val="clear" w:color="auto" w:fill="auto"/>
            <w:vAlign w:val="center"/>
          </w:tcPr>
          <w:p>
            <w:pPr>
              <w:pStyle w:val="52"/>
              <w:jc w:val="center"/>
              <w:rPr>
                <w:szCs w:val="20"/>
              </w:rPr>
            </w:pPr>
            <w:r>
              <w:rPr>
                <w:szCs w:val="18"/>
              </w:rPr>
              <w:t>25</w:t>
            </w:r>
          </w:p>
        </w:tc>
        <w:tc>
          <w:tcPr>
            <w:tcW w:w="979" w:type="dxa"/>
            <w:shd w:val="clear" w:color="auto" w:fill="auto"/>
            <w:vAlign w:val="center"/>
          </w:tcPr>
          <w:p>
            <w:pPr>
              <w:pStyle w:val="52"/>
              <w:jc w:val="center"/>
              <w:rPr>
                <w:szCs w:val="20"/>
              </w:rPr>
            </w:pPr>
            <w:r>
              <w:rPr>
                <w:szCs w:val="18"/>
              </w:rPr>
              <w:t>9.85</w:t>
            </w:r>
          </w:p>
        </w:tc>
        <w:tc>
          <w:tcPr>
            <w:tcW w:w="992" w:type="dxa"/>
            <w:shd w:val="clear" w:color="auto" w:fill="auto"/>
            <w:vAlign w:val="center"/>
          </w:tcPr>
          <w:p>
            <w:pPr>
              <w:pStyle w:val="52"/>
              <w:jc w:val="center"/>
              <w:rPr>
                <w:szCs w:val="20"/>
              </w:rPr>
            </w:pPr>
            <w:r>
              <w:rPr>
                <w:szCs w:val="18"/>
              </w:rPr>
              <w:t>6.04</w:t>
            </w:r>
          </w:p>
        </w:tc>
        <w:tc>
          <w:tcPr>
            <w:tcW w:w="993" w:type="dxa"/>
            <w:vAlign w:val="center"/>
          </w:tcPr>
          <w:p>
            <w:pPr>
              <w:pStyle w:val="52"/>
              <w:jc w:val="center"/>
              <w:rPr>
                <w:szCs w:val="18"/>
              </w:rPr>
            </w:pPr>
            <w:r>
              <w:rPr>
                <w:szCs w:val="18"/>
              </w:rPr>
              <w:t>10.00</w:t>
            </w:r>
          </w:p>
        </w:tc>
      </w:tr>
    </w:tbl>
    <w:p>
      <w:pPr>
        <w:pStyle w:val="70"/>
      </w:pPr>
      <w:r>
        <w:rPr>
          <w:rFonts w:hint="eastAsia"/>
        </w:rPr>
        <w:t>（2）不同专业研究生年薪</w:t>
      </w:r>
    </w:p>
    <w:p>
      <w:pPr>
        <w:pStyle w:val="37"/>
        <w:ind w:firstLine="480"/>
      </w:pPr>
      <w:r>
        <w:rPr>
          <w:rFonts w:hint="eastAsia"/>
        </w:rPr>
        <w:t>就不同专业而言，戏剧与影视学专业研究生最终落实的年薪与期望的年薪差异不大；艺术学理论专业研究生最终落实的年薪低于期望的年薪；其余专业研究生最终落实的年薪显著低于期望的年薪。期望年薪最高的是戏剧专业（14.09万元），最低的是艺术学理论专业（10.00万元）；最终落实年薪最高的是戏剧与影视学专业（10.55万元），最低的是艺术学理论专业（9.00万元）。</w:t>
      </w:r>
    </w:p>
    <w:p>
      <w:pPr>
        <w:jc w:val="center"/>
      </w:pPr>
      <w:r>
        <w:rPr>
          <w:rFonts w:hint="eastAsia"/>
        </w:rPr>
        <w:drawing>
          <wp:inline distT="0" distB="0" distL="0" distR="0">
            <wp:extent cx="6134100" cy="3077210"/>
            <wp:effectExtent l="19050" t="0" r="19050" b="8890"/>
            <wp:docPr id="19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59"/>
        <w:spacing w:before="156" w:after="312"/>
      </w:pPr>
      <w:r>
        <w:rPr>
          <w:rFonts w:hint="eastAsia"/>
        </w:rPr>
        <w:t>不同专业研究生期望与落实年薪（万元）</w:t>
      </w:r>
    </w:p>
    <w:p>
      <w:pPr>
        <w:pStyle w:val="53"/>
        <w:spacing w:before="312" w:after="156"/>
      </w:pPr>
      <w:r>
        <w:rPr>
          <w:rFonts w:hint="eastAsia"/>
        </w:rPr>
        <w:t>不同专业研究生期望与落实年薪（万元）</w:t>
      </w:r>
    </w:p>
    <w:tbl>
      <w:tblPr>
        <w:tblStyle w:val="33"/>
        <w:tblW w:w="9467" w:type="dxa"/>
        <w:jc w:val="center"/>
        <w:tblInd w:w="0" w:type="dxa"/>
        <w:tblLayout w:type="fixed"/>
        <w:tblCellMar>
          <w:top w:w="0" w:type="dxa"/>
          <w:left w:w="108" w:type="dxa"/>
          <w:bottom w:w="0" w:type="dxa"/>
          <w:right w:w="108" w:type="dxa"/>
        </w:tblCellMar>
      </w:tblPr>
      <w:tblGrid>
        <w:gridCol w:w="2755"/>
        <w:gridCol w:w="634"/>
        <w:gridCol w:w="966"/>
        <w:gridCol w:w="993"/>
        <w:gridCol w:w="909"/>
        <w:gridCol w:w="709"/>
        <w:gridCol w:w="851"/>
        <w:gridCol w:w="850"/>
        <w:gridCol w:w="800"/>
      </w:tblGrid>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right w:val="dotted" w:color="00B050" w:sz="8" w:space="0"/>
            </w:tcBorders>
            <w:shd w:val="clear" w:color="auto" w:fill="auto"/>
            <w:vAlign w:val="center"/>
          </w:tcPr>
          <w:p>
            <w:pPr>
              <w:pStyle w:val="52"/>
              <w:ind w:firstLine="480"/>
              <w:jc w:val="center"/>
              <w:rPr>
                <w:szCs w:val="20"/>
              </w:rPr>
            </w:pPr>
          </w:p>
        </w:tc>
        <w:tc>
          <w:tcPr>
            <w:tcW w:w="3502"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pPr>
            <w:r>
              <w:rPr>
                <w:rFonts w:hint="eastAsia"/>
              </w:rPr>
              <w:t>期望年薪</w:t>
            </w:r>
          </w:p>
        </w:tc>
        <w:tc>
          <w:tcPr>
            <w:tcW w:w="3210" w:type="dxa"/>
            <w:gridSpan w:val="4"/>
            <w:tcBorders>
              <w:top w:val="single" w:color="00B050" w:sz="8" w:space="0"/>
              <w:left w:val="dotted" w:color="00B050" w:sz="8" w:space="0"/>
              <w:bottom w:val="single" w:color="00B050" w:sz="8" w:space="0"/>
              <w:right w:val="single" w:color="00B050" w:sz="8" w:space="0"/>
            </w:tcBorders>
            <w:shd w:val="clear" w:color="auto" w:fill="auto"/>
            <w:vAlign w:val="center"/>
          </w:tcPr>
          <w:p>
            <w:pPr>
              <w:pStyle w:val="52"/>
              <w:jc w:val="center"/>
              <w:rPr>
                <w:szCs w:val="20"/>
              </w:rPr>
            </w:pPr>
            <w:r>
              <w:rPr>
                <w:rFonts w:hint="eastAsia"/>
              </w:rPr>
              <w:t>最终落实</w:t>
            </w:r>
          </w:p>
        </w:tc>
      </w:tr>
      <w:tr>
        <w:tblPrEx>
          <w:tblLayout w:type="fixed"/>
          <w:tblCellMar>
            <w:top w:w="0" w:type="dxa"/>
            <w:left w:w="108" w:type="dxa"/>
            <w:bottom w:w="0" w:type="dxa"/>
            <w:right w:w="108" w:type="dxa"/>
          </w:tblCellMar>
        </w:tblPrEx>
        <w:trPr>
          <w:trHeight w:val="285" w:hRule="atLeast"/>
          <w:jc w:val="center"/>
        </w:trPr>
        <w:tc>
          <w:tcPr>
            <w:tcW w:w="2755" w:type="dxa"/>
            <w:tcBorders>
              <w:left w:val="single" w:color="00B050" w:sz="8" w:space="0"/>
              <w:bottom w:val="single" w:color="00B050" w:sz="8" w:space="0"/>
              <w:right w:val="dotted" w:color="00B050" w:sz="8" w:space="0"/>
            </w:tcBorders>
            <w:shd w:val="clear" w:color="auto" w:fill="auto"/>
            <w:vAlign w:val="center"/>
          </w:tcPr>
          <w:p>
            <w:pPr>
              <w:pStyle w:val="52"/>
              <w:jc w:val="center"/>
              <w:rPr>
                <w:szCs w:val="20"/>
              </w:rPr>
            </w:pPr>
          </w:p>
        </w:tc>
        <w:tc>
          <w:tcPr>
            <w:tcW w:w="634"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N</w:t>
            </w:r>
          </w:p>
        </w:tc>
        <w:tc>
          <w:tcPr>
            <w:tcW w:w="966"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均值</w:t>
            </w:r>
          </w:p>
        </w:tc>
        <w:tc>
          <w:tcPr>
            <w:tcW w:w="993" w:type="dxa"/>
            <w:tcBorders>
              <w:top w:val="nil"/>
              <w:left w:val="dotted" w:color="00B050" w:sz="8" w:space="0"/>
              <w:bottom w:val="single" w:color="00B050" w:sz="8" w:space="0"/>
              <w:right w:val="dotted" w:color="00B050" w:sz="8" w:space="0"/>
            </w:tcBorders>
            <w:vAlign w:val="center"/>
          </w:tcPr>
          <w:p>
            <w:pPr>
              <w:pStyle w:val="52"/>
              <w:jc w:val="center"/>
              <w:rPr>
                <w:szCs w:val="18"/>
              </w:rPr>
            </w:pPr>
            <w:r>
              <w:rPr>
                <w:rFonts w:hint="eastAsia"/>
                <w:szCs w:val="18"/>
              </w:rPr>
              <w:t>标准差</w:t>
            </w:r>
          </w:p>
        </w:tc>
        <w:tc>
          <w:tcPr>
            <w:tcW w:w="909"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中值</w:t>
            </w:r>
          </w:p>
        </w:tc>
        <w:tc>
          <w:tcPr>
            <w:tcW w:w="709"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N</w:t>
            </w:r>
          </w:p>
        </w:tc>
        <w:tc>
          <w:tcPr>
            <w:tcW w:w="851"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均值</w:t>
            </w:r>
          </w:p>
        </w:tc>
        <w:tc>
          <w:tcPr>
            <w:tcW w:w="850" w:type="dxa"/>
            <w:tcBorders>
              <w:top w:val="nil"/>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rFonts w:hint="eastAsia"/>
                <w:szCs w:val="18"/>
              </w:rPr>
              <w:t>标准差</w:t>
            </w:r>
          </w:p>
        </w:tc>
        <w:tc>
          <w:tcPr>
            <w:tcW w:w="800" w:type="dxa"/>
            <w:tcBorders>
              <w:top w:val="nil"/>
              <w:left w:val="dotted" w:color="00B050" w:sz="8" w:space="0"/>
              <w:bottom w:val="single" w:color="00B050" w:sz="8" w:space="0"/>
              <w:right w:val="single" w:color="00B050" w:sz="8" w:space="0"/>
            </w:tcBorders>
            <w:vAlign w:val="center"/>
          </w:tcPr>
          <w:p>
            <w:pPr>
              <w:pStyle w:val="52"/>
              <w:jc w:val="center"/>
              <w:rPr>
                <w:szCs w:val="18"/>
              </w:rPr>
            </w:pPr>
            <w:r>
              <w:rPr>
                <w:rFonts w:hint="eastAsia"/>
                <w:szCs w:val="18"/>
              </w:rPr>
              <w:t>中值</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20"/>
              </w:rPr>
            </w:pPr>
            <w:r>
              <w:rPr>
                <w:rFonts w:hint="eastAsia"/>
                <w:szCs w:val="18"/>
              </w:rPr>
              <w:t>戏剧</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11</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14.09</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13.44</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10</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9.10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20"/>
              </w:rPr>
            </w:pPr>
            <w:r>
              <w:rPr>
                <w:szCs w:val="18"/>
              </w:rPr>
              <w:t>4.91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10.00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戏剧与影视学</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15</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10.40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5.34</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13</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10.55</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7.31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8.00</w:t>
            </w:r>
          </w:p>
        </w:tc>
      </w:tr>
      <w:tr>
        <w:tblPrEx>
          <w:tblLayout w:type="fixed"/>
          <w:tblCellMar>
            <w:top w:w="0" w:type="dxa"/>
            <w:left w:w="108" w:type="dxa"/>
            <w:bottom w:w="0" w:type="dxa"/>
            <w:right w:w="108" w:type="dxa"/>
          </w:tblCellMar>
        </w:tblPrEx>
        <w:trPr>
          <w:trHeight w:val="300" w:hRule="atLeast"/>
          <w:jc w:val="center"/>
        </w:trPr>
        <w:tc>
          <w:tcPr>
            <w:tcW w:w="2755" w:type="dxa"/>
            <w:tcBorders>
              <w:top w:val="single" w:color="00B050" w:sz="8" w:space="0"/>
              <w:left w:val="single" w:color="00B050" w:sz="8" w:space="0"/>
              <w:bottom w:val="single" w:color="00B050" w:sz="8" w:space="0"/>
              <w:right w:val="dotted" w:color="00B050" w:sz="8" w:space="0"/>
            </w:tcBorders>
            <w:shd w:val="clear" w:color="auto" w:fill="auto"/>
            <w:vAlign w:val="center"/>
          </w:tcPr>
          <w:p>
            <w:pPr>
              <w:pStyle w:val="52"/>
              <w:rPr>
                <w:szCs w:val="18"/>
              </w:rPr>
            </w:pPr>
            <w:r>
              <w:rPr>
                <w:rFonts w:hint="eastAsia"/>
                <w:szCs w:val="18"/>
              </w:rPr>
              <w:t>艺术学理论</w:t>
            </w:r>
          </w:p>
        </w:tc>
        <w:tc>
          <w:tcPr>
            <w:tcW w:w="634"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w:t>
            </w:r>
          </w:p>
        </w:tc>
        <w:tc>
          <w:tcPr>
            <w:tcW w:w="966"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10.00</w:t>
            </w:r>
          </w:p>
        </w:tc>
        <w:tc>
          <w:tcPr>
            <w:tcW w:w="993" w:type="dxa"/>
            <w:tcBorders>
              <w:top w:val="single" w:color="00B050" w:sz="8" w:space="0"/>
              <w:left w:val="dotted" w:color="00B050" w:sz="8" w:space="0"/>
              <w:bottom w:val="single" w:color="00B050" w:sz="8" w:space="0"/>
              <w:right w:val="dotted" w:color="00B050" w:sz="8" w:space="0"/>
            </w:tcBorders>
            <w:vAlign w:val="center"/>
          </w:tcPr>
          <w:p>
            <w:pPr>
              <w:pStyle w:val="52"/>
              <w:jc w:val="center"/>
              <w:rPr>
                <w:szCs w:val="18"/>
              </w:rPr>
            </w:pPr>
            <w:r>
              <w:rPr>
                <w:szCs w:val="18"/>
              </w:rPr>
              <w:t>0.00</w:t>
            </w:r>
          </w:p>
        </w:tc>
        <w:tc>
          <w:tcPr>
            <w:tcW w:w="9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10.00</w:t>
            </w:r>
          </w:p>
        </w:tc>
        <w:tc>
          <w:tcPr>
            <w:tcW w:w="709"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2</w:t>
            </w:r>
          </w:p>
        </w:tc>
        <w:tc>
          <w:tcPr>
            <w:tcW w:w="851"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9.00</w:t>
            </w:r>
          </w:p>
        </w:tc>
        <w:tc>
          <w:tcPr>
            <w:tcW w:w="850" w:type="dxa"/>
            <w:tcBorders>
              <w:top w:val="single" w:color="00B050" w:sz="8" w:space="0"/>
              <w:left w:val="dotted" w:color="00B050" w:sz="8" w:space="0"/>
              <w:bottom w:val="single" w:color="00B050" w:sz="8" w:space="0"/>
              <w:right w:val="dotted" w:color="00B050" w:sz="8" w:space="0"/>
            </w:tcBorders>
            <w:shd w:val="clear" w:color="auto" w:fill="auto"/>
            <w:vAlign w:val="center"/>
          </w:tcPr>
          <w:p>
            <w:pPr>
              <w:pStyle w:val="52"/>
              <w:jc w:val="center"/>
              <w:rPr>
                <w:szCs w:val="18"/>
              </w:rPr>
            </w:pPr>
            <w:r>
              <w:rPr>
                <w:szCs w:val="18"/>
              </w:rPr>
              <w:t>1.41</w:t>
            </w:r>
          </w:p>
        </w:tc>
        <w:tc>
          <w:tcPr>
            <w:tcW w:w="800" w:type="dxa"/>
            <w:tcBorders>
              <w:top w:val="single" w:color="00B050" w:sz="8" w:space="0"/>
              <w:left w:val="dotted" w:color="00B050" w:sz="8" w:space="0"/>
              <w:bottom w:val="single" w:color="00B050" w:sz="8" w:space="0"/>
              <w:right w:val="single" w:color="00B050" w:sz="8" w:space="0"/>
            </w:tcBorders>
            <w:vAlign w:val="center"/>
          </w:tcPr>
          <w:p>
            <w:pPr>
              <w:pStyle w:val="52"/>
              <w:jc w:val="center"/>
              <w:rPr>
                <w:szCs w:val="18"/>
              </w:rPr>
            </w:pPr>
            <w:r>
              <w:rPr>
                <w:szCs w:val="18"/>
              </w:rPr>
              <w:t>9.00</w:t>
            </w:r>
          </w:p>
        </w:tc>
      </w:tr>
    </w:tbl>
    <w:p/>
    <w:p>
      <w:pPr>
        <w:pStyle w:val="67"/>
      </w:pPr>
      <w:bookmarkStart w:id="205" w:name="_Toc470167426"/>
      <w:r>
        <w:rPr>
          <w:rFonts w:hint="eastAsia"/>
        </w:rPr>
        <w:t>7、福利保障</w:t>
      </w:r>
      <w:bookmarkEnd w:id="205"/>
    </w:p>
    <w:p>
      <w:pPr>
        <w:pStyle w:val="70"/>
      </w:pPr>
      <w:r>
        <w:rPr>
          <w:rFonts w:hint="eastAsia"/>
        </w:rPr>
        <w:t>（1）保险</w:t>
      </w:r>
    </w:p>
    <w:p>
      <w:pPr>
        <w:pStyle w:val="75"/>
      </w:pPr>
      <w:bookmarkStart w:id="206" w:name="PO_34271"/>
      <w:bookmarkEnd w:id="206"/>
      <w:r>
        <w:rPr>
          <w:rFonts w:hint="eastAsia"/>
        </w:rPr>
        <w:t>①总体情况</w:t>
      </w:r>
    </w:p>
    <w:p>
      <w:pPr>
        <w:pStyle w:val="37"/>
        <w:ind w:firstLine="480"/>
      </w:pPr>
      <w:r>
        <w:rPr>
          <w:rFonts w:hint="eastAsia"/>
        </w:rPr>
        <w:t>总体而言，85.7%表示“有五险”，7.1%表示“五险不全”，7.1%表示“没有五险”。</w:t>
      </w:r>
    </w:p>
    <w:p>
      <w:pPr>
        <w:jc w:val="center"/>
      </w:pPr>
      <w:r>
        <w:rPr>
          <w:rFonts w:hint="eastAsia"/>
        </w:rPr>
        <w:drawing>
          <wp:inline distT="0" distB="0" distL="0" distR="0">
            <wp:extent cx="6076950" cy="3448050"/>
            <wp:effectExtent l="0" t="0" r="0" b="0"/>
            <wp:docPr id="3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59"/>
        <w:spacing w:before="156" w:after="312"/>
      </w:pPr>
      <w:r>
        <w:rPr>
          <w:rFonts w:hint="eastAsia"/>
        </w:rPr>
        <w:t>研究生享受五险情况</w:t>
      </w:r>
    </w:p>
    <w:p>
      <w:pPr>
        <w:pStyle w:val="75"/>
      </w:pPr>
      <w:r>
        <w:rPr>
          <w:rFonts w:hint="eastAsia"/>
        </w:rPr>
        <w:t>②不同专业研究生享受五险情况</w:t>
      </w:r>
    </w:p>
    <w:p>
      <w:pPr>
        <w:pStyle w:val="37"/>
        <w:ind w:firstLine="480"/>
      </w:pPr>
      <w:r>
        <w:rPr>
          <w:rFonts w:hint="eastAsia"/>
        </w:rPr>
        <w:t>就专业而言，卡方检验显示，不同专业研究生在目前单位享受五险的情况不存在显著性差异（χ²=3.66，p&gt;0.05）。</w:t>
      </w:r>
    </w:p>
    <w:p>
      <w:pPr>
        <w:jc w:val="center"/>
      </w:pPr>
      <w:r>
        <w:rPr>
          <w:rFonts w:hint="eastAsia"/>
        </w:rPr>
        <w:drawing>
          <wp:inline distT="0" distB="0" distL="0" distR="0">
            <wp:extent cx="6315075" cy="3200400"/>
            <wp:effectExtent l="0" t="0" r="0" b="0"/>
            <wp:docPr id="35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59"/>
        <w:spacing w:before="156" w:after="312"/>
      </w:pPr>
      <w:r>
        <w:rPr>
          <w:rFonts w:hint="eastAsia"/>
        </w:rPr>
        <w:t>不同专业研究生享受五险情况</w:t>
      </w:r>
    </w:p>
    <w:p>
      <w:pPr>
        <w:pStyle w:val="53"/>
        <w:spacing w:before="312" w:after="156"/>
      </w:pPr>
      <w:r>
        <w:rPr>
          <w:rFonts w:hint="eastAsia"/>
        </w:rPr>
        <w:t>研究生享受五险情况</w:t>
      </w:r>
    </w:p>
    <w:tbl>
      <w:tblPr>
        <w:tblStyle w:val="33"/>
        <w:tblW w:w="6552"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846"/>
        <w:gridCol w:w="1056"/>
        <w:gridCol w:w="105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295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有五险</w:t>
            </w: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五险不全</w:t>
            </w:r>
          </w:p>
        </w:tc>
        <w:tc>
          <w:tcPr>
            <w:tcW w:w="105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没有五险</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72.7</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9.1</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18.2</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x²=3.66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戏剧与影视学</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93.3</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6.7</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艺术学理论</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11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84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85.7</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w:t>
            </w:r>
          </w:p>
        </w:tc>
        <w:tc>
          <w:tcPr>
            <w:tcW w:w="105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7.1</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480"/>
      </w:pPr>
    </w:p>
    <w:p>
      <w:pPr>
        <w:pStyle w:val="70"/>
      </w:pPr>
      <w:r>
        <w:rPr>
          <w:rFonts w:hint="eastAsia"/>
        </w:rPr>
        <w:t>（2）公积金</w:t>
      </w:r>
    </w:p>
    <w:p>
      <w:pPr>
        <w:pStyle w:val="75"/>
      </w:pPr>
      <w:bookmarkStart w:id="207" w:name="PO_34272"/>
      <w:bookmarkEnd w:id="207"/>
      <w:r>
        <w:rPr>
          <w:rFonts w:hint="eastAsia"/>
        </w:rPr>
        <w:t>①总体情况</w:t>
      </w:r>
    </w:p>
    <w:p>
      <w:pPr>
        <w:pStyle w:val="37"/>
        <w:ind w:firstLine="480"/>
      </w:pPr>
      <w:r>
        <w:rPr>
          <w:rFonts w:hint="eastAsia"/>
        </w:rPr>
        <w:t>总体而言，78.6%表示“有公积金”，21.4%表示“没有公积金”。</w:t>
      </w:r>
    </w:p>
    <w:p>
      <w:pPr>
        <w:jc w:val="center"/>
      </w:pPr>
      <w:r>
        <w:rPr>
          <w:rFonts w:hint="eastAsia"/>
        </w:rPr>
        <w:drawing>
          <wp:inline distT="0" distB="0" distL="0" distR="0">
            <wp:extent cx="6076950" cy="3077210"/>
            <wp:effectExtent l="0" t="0" r="0" b="0"/>
            <wp:docPr id="3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59"/>
        <w:spacing w:before="156" w:after="312"/>
      </w:pPr>
      <w:r>
        <w:rPr>
          <w:rFonts w:hint="eastAsia"/>
        </w:rPr>
        <w:t>研究生享受公积金情况</w:t>
      </w:r>
    </w:p>
    <w:p>
      <w:pPr>
        <w:pStyle w:val="75"/>
      </w:pPr>
      <w:r>
        <w:rPr>
          <w:rFonts w:hint="eastAsia"/>
        </w:rPr>
        <w:t>②不同专业研究生享受公积金情况</w:t>
      </w:r>
    </w:p>
    <w:p>
      <w:pPr>
        <w:pStyle w:val="37"/>
        <w:ind w:firstLine="480"/>
      </w:pPr>
      <w:r>
        <w:rPr>
          <w:rFonts w:hint="eastAsia"/>
        </w:rPr>
        <w:t>就专业而言，卡方检验显示，不同专业研究生在目前单位享受公积金的情况不存在显著性差异（χ²=0.79，p&gt;0.05）。</w:t>
      </w:r>
    </w:p>
    <w:p>
      <w:pPr>
        <w:jc w:val="center"/>
      </w:pPr>
      <w:r>
        <w:rPr>
          <w:rFonts w:hint="eastAsia"/>
        </w:rPr>
        <w:drawing>
          <wp:inline distT="0" distB="0" distL="0" distR="0">
            <wp:extent cx="6315075" cy="2914650"/>
            <wp:effectExtent l="19050" t="0" r="9525" b="0"/>
            <wp:docPr id="35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59"/>
        <w:spacing w:before="156" w:after="312"/>
      </w:pPr>
      <w:r>
        <w:rPr>
          <w:rFonts w:hint="eastAsia"/>
        </w:rPr>
        <w:t>不同专业研究生享受公积金情况</w:t>
      </w:r>
    </w:p>
    <w:p>
      <w:pPr>
        <w:pStyle w:val="53"/>
        <w:spacing w:before="312" w:after="156"/>
      </w:pPr>
      <w:r>
        <w:rPr>
          <w:rFonts w:hint="eastAsia"/>
        </w:rPr>
        <w:t>研究生享受公积金情况</w:t>
      </w:r>
    </w:p>
    <w:tbl>
      <w:tblPr>
        <w:tblStyle w:val="33"/>
        <w:tblW w:w="491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689"/>
        <w:gridCol w:w="63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1325" w:type="dxa"/>
            <w:gridSpan w:val="2"/>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continue"/>
            <w:shd w:val="clear" w:color="auto" w:fill="auto"/>
            <w:vAlign w:val="center"/>
          </w:tcPr>
          <w:p>
            <w:pPr>
              <w:widowControl/>
              <w:jc w:val="center"/>
              <w:rPr>
                <w:rFonts w:ascii="宋体" w:hAnsi="宋体" w:cs="宋体"/>
                <w:color w:val="000000"/>
                <w:kern w:val="0"/>
                <w:szCs w:val="21"/>
              </w:rPr>
            </w:pPr>
          </w:p>
        </w:tc>
        <w:tc>
          <w:tcPr>
            <w:tcW w:w="689"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w:t>
            </w:r>
          </w:p>
        </w:tc>
        <w:tc>
          <w:tcPr>
            <w:tcW w:w="63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没有</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72.7</w:t>
            </w:r>
          </w:p>
        </w:tc>
        <w:tc>
          <w:tcPr>
            <w:tcW w:w="63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27.3</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x²=0.79</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戏剧与影视学</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p>
        </w:tc>
        <w:tc>
          <w:tcPr>
            <w:tcW w:w="63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艺术学理论</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63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11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68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78.6</w:t>
            </w:r>
          </w:p>
        </w:tc>
        <w:tc>
          <w:tcPr>
            <w:tcW w:w="63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21.4</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480"/>
      </w:pPr>
    </w:p>
    <w:p>
      <w:pPr>
        <w:pStyle w:val="67"/>
      </w:pPr>
      <w:bookmarkStart w:id="208" w:name="_Toc470167427"/>
      <w:r>
        <w:rPr>
          <w:rFonts w:hint="eastAsia"/>
        </w:rPr>
        <w:t>8、发展前景</w:t>
      </w:r>
      <w:bookmarkEnd w:id="208"/>
    </w:p>
    <w:p>
      <w:pPr>
        <w:pStyle w:val="70"/>
      </w:pPr>
      <w:r>
        <w:rPr>
          <w:rFonts w:hint="eastAsia"/>
        </w:rPr>
        <w:t>（1）发展空间</w:t>
      </w:r>
    </w:p>
    <w:p>
      <w:pPr>
        <w:pStyle w:val="75"/>
      </w:pPr>
      <w:bookmarkStart w:id="209" w:name="PO_34281"/>
      <w:bookmarkEnd w:id="209"/>
      <w:r>
        <w:rPr>
          <w:rFonts w:hint="eastAsia"/>
        </w:rPr>
        <w:t>①总体情况</w:t>
      </w:r>
    </w:p>
    <w:p>
      <w:pPr>
        <w:pStyle w:val="37"/>
        <w:ind w:firstLine="480"/>
      </w:pPr>
      <w:r>
        <w:rPr>
          <w:rFonts w:hint="eastAsia"/>
        </w:rPr>
        <w:t>总体而言，64.3%的研究生表示发展空间“很大”或“大”，35.7%认为“不好说”。</w:t>
      </w:r>
    </w:p>
    <w:p>
      <w:pPr>
        <w:jc w:val="center"/>
      </w:pPr>
      <w:r>
        <w:rPr>
          <w:rFonts w:hint="eastAsia"/>
        </w:rPr>
        <w:drawing>
          <wp:inline distT="0" distB="0" distL="0" distR="0">
            <wp:extent cx="6076950" cy="3077210"/>
            <wp:effectExtent l="19050" t="0" r="19050" b="8890"/>
            <wp:docPr id="3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59"/>
        <w:spacing w:before="156" w:after="312"/>
      </w:pPr>
      <w:r>
        <w:rPr>
          <w:rFonts w:hint="eastAsia"/>
        </w:rPr>
        <w:t>研究生发展空间情况</w:t>
      </w:r>
    </w:p>
    <w:p>
      <w:pPr>
        <w:pStyle w:val="75"/>
      </w:pPr>
      <w:r>
        <w:rPr>
          <w:rFonts w:hint="eastAsia"/>
        </w:rPr>
        <w:t>②不同专业研究生发展空间</w:t>
      </w:r>
    </w:p>
    <w:p>
      <w:pPr>
        <w:pStyle w:val="37"/>
        <w:ind w:firstLine="480"/>
      </w:pPr>
      <w:r>
        <w:rPr>
          <w:rFonts w:hint="eastAsia"/>
        </w:rPr>
        <w:t>就专业而言，方差检验显示，不同专业的研究生的发展空间不存在显著性差异（F=0.56，p&gt;0.05）。</w:t>
      </w:r>
    </w:p>
    <w:p>
      <w:pPr>
        <w:jc w:val="center"/>
      </w:pPr>
      <w:r>
        <w:rPr>
          <w:rFonts w:hint="eastAsia"/>
        </w:rPr>
        <w:drawing>
          <wp:inline distT="0" distB="0" distL="0" distR="0">
            <wp:extent cx="6210300" cy="3590925"/>
            <wp:effectExtent l="0" t="0" r="0" b="0"/>
            <wp:docPr id="3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59"/>
        <w:spacing w:before="156" w:after="312"/>
      </w:pPr>
      <w:r>
        <w:rPr>
          <w:rFonts w:hint="eastAsia"/>
        </w:rPr>
        <w:t>不同专业研究生发展空间情况</w:t>
      </w:r>
    </w:p>
    <w:p>
      <w:pPr>
        <w:pStyle w:val="53"/>
        <w:spacing w:before="312" w:after="156"/>
      </w:pPr>
      <w:r>
        <w:rPr>
          <w:rFonts w:hint="eastAsia"/>
        </w:rPr>
        <w:t>研究生发展空间情况</w:t>
      </w:r>
    </w:p>
    <w:tbl>
      <w:tblPr>
        <w:tblStyle w:val="33"/>
        <w:tblW w:w="715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636"/>
        <w:gridCol w:w="589"/>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071"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很大</w:t>
            </w:r>
          </w:p>
        </w:tc>
        <w:tc>
          <w:tcPr>
            <w:tcW w:w="58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大</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4.09</w:t>
            </w:r>
          </w:p>
        </w:tc>
        <w:tc>
          <w:tcPr>
            <w:tcW w:w="846" w:type="dxa"/>
            <w:shd w:val="clear" w:color="auto" w:fill="auto"/>
            <w:vAlign w:val="center"/>
          </w:tcPr>
          <w:p>
            <w:pPr>
              <w:widowControl/>
              <w:jc w:val="center"/>
              <w:rPr>
                <w:color w:val="000000"/>
                <w:kern w:val="0"/>
                <w:szCs w:val="21"/>
              </w:rPr>
            </w:pPr>
            <w:r>
              <w:rPr>
                <w:color w:val="000000"/>
                <w:kern w:val="0"/>
                <w:szCs w:val="21"/>
              </w:rPr>
              <w:t>0.94</w:t>
            </w:r>
          </w:p>
        </w:tc>
        <w:tc>
          <w:tcPr>
            <w:tcW w:w="636" w:type="dxa"/>
            <w:vAlign w:val="center"/>
          </w:tcPr>
          <w:p>
            <w:pPr>
              <w:widowControl/>
              <w:jc w:val="center"/>
              <w:rPr>
                <w:color w:val="000000"/>
                <w:kern w:val="0"/>
                <w:szCs w:val="21"/>
              </w:rPr>
            </w:pPr>
            <w:r>
              <w:rPr>
                <w:color w:val="000000"/>
                <w:kern w:val="0"/>
                <w:szCs w:val="21"/>
              </w:rPr>
              <w:t>45.5</w:t>
            </w:r>
          </w:p>
        </w:tc>
        <w:tc>
          <w:tcPr>
            <w:tcW w:w="589" w:type="dxa"/>
            <w:vAlign w:val="center"/>
          </w:tcPr>
          <w:p>
            <w:pPr>
              <w:widowControl/>
              <w:jc w:val="center"/>
              <w:rPr>
                <w:color w:val="000000"/>
                <w:kern w:val="0"/>
                <w:szCs w:val="21"/>
              </w:rPr>
            </w:pPr>
            <w:r>
              <w:rPr>
                <w:color w:val="000000"/>
                <w:kern w:val="0"/>
                <w:szCs w:val="21"/>
              </w:rPr>
              <w:t>18.2</w:t>
            </w:r>
          </w:p>
        </w:tc>
        <w:tc>
          <w:tcPr>
            <w:tcW w:w="846" w:type="dxa"/>
            <w:vAlign w:val="center"/>
          </w:tcPr>
          <w:p>
            <w:pPr>
              <w:widowControl/>
              <w:jc w:val="center"/>
              <w:rPr>
                <w:color w:val="000000"/>
                <w:kern w:val="0"/>
                <w:szCs w:val="21"/>
              </w:rPr>
            </w:pPr>
            <w:r>
              <w:rPr>
                <w:color w:val="000000"/>
                <w:kern w:val="0"/>
                <w:szCs w:val="21"/>
              </w:rPr>
              <w:t>36.4</w:t>
            </w:r>
          </w:p>
        </w:tc>
        <w:tc>
          <w:tcPr>
            <w:tcW w:w="1056" w:type="dxa"/>
            <w:vMerge w:val="restart"/>
            <w:shd w:val="clear" w:color="auto" w:fill="auto"/>
            <w:vAlign w:val="center"/>
          </w:tcPr>
          <w:p>
            <w:pPr>
              <w:jc w:val="center"/>
              <w:rPr>
                <w:color w:val="000000"/>
                <w:kern w:val="0"/>
                <w:szCs w:val="21"/>
              </w:rPr>
            </w:pPr>
            <w:r>
              <w:rPr>
                <w:color w:val="000000"/>
                <w:kern w:val="0"/>
                <w:szCs w:val="21"/>
              </w:rPr>
              <w:t>F=0.56</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3.87</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636" w:type="dxa"/>
            <w:vAlign w:val="center"/>
          </w:tcPr>
          <w:p>
            <w:pPr>
              <w:widowControl/>
              <w:jc w:val="center"/>
              <w:rPr>
                <w:color w:val="000000"/>
                <w:kern w:val="0"/>
                <w:szCs w:val="21"/>
              </w:rPr>
            </w:pPr>
            <w:r>
              <w:rPr>
                <w:color w:val="000000"/>
                <w:kern w:val="0"/>
                <w:szCs w:val="21"/>
              </w:rPr>
              <w:t>26.7</w:t>
            </w:r>
          </w:p>
        </w:tc>
        <w:tc>
          <w:tcPr>
            <w:tcW w:w="589"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40.0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636" w:type="dxa"/>
            <w:vAlign w:val="center"/>
          </w:tcPr>
          <w:p>
            <w:pPr>
              <w:widowControl/>
              <w:jc w:val="center"/>
              <w:rPr>
                <w:color w:val="000000"/>
                <w:kern w:val="0"/>
                <w:szCs w:val="21"/>
              </w:rPr>
            </w:pPr>
            <w:r>
              <w:rPr>
                <w:color w:val="000000"/>
                <w:kern w:val="0"/>
                <w:szCs w:val="21"/>
              </w:rPr>
              <w:t>50.0</w:t>
            </w:r>
          </w:p>
        </w:tc>
        <w:tc>
          <w:tcPr>
            <w:tcW w:w="589"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0.86</w:t>
            </w:r>
          </w:p>
        </w:tc>
        <w:tc>
          <w:tcPr>
            <w:tcW w:w="636" w:type="dxa"/>
            <w:vAlign w:val="center"/>
          </w:tcPr>
          <w:p>
            <w:pPr>
              <w:widowControl/>
              <w:jc w:val="center"/>
              <w:rPr>
                <w:color w:val="000000"/>
                <w:kern w:val="0"/>
                <w:szCs w:val="21"/>
              </w:rPr>
            </w:pPr>
            <w:r>
              <w:rPr>
                <w:color w:val="000000"/>
                <w:kern w:val="0"/>
                <w:szCs w:val="21"/>
              </w:rPr>
              <w:t>35.7</w:t>
            </w:r>
          </w:p>
        </w:tc>
        <w:tc>
          <w:tcPr>
            <w:tcW w:w="589"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35.7</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注：得分5=很大，4=大，3=不好说，2=小，1=很小</w:t>
      </w:r>
    </w:p>
    <w:p>
      <w:pPr>
        <w:pStyle w:val="37"/>
        <w:ind w:firstLine="480"/>
      </w:pPr>
    </w:p>
    <w:p>
      <w:pPr>
        <w:pStyle w:val="70"/>
      </w:pPr>
      <w:r>
        <w:rPr>
          <w:rFonts w:hint="eastAsia"/>
        </w:rPr>
        <w:t>（2）发展路径</w:t>
      </w:r>
    </w:p>
    <w:p>
      <w:pPr>
        <w:pStyle w:val="75"/>
      </w:pPr>
      <w:bookmarkStart w:id="210" w:name="PO_34282"/>
      <w:bookmarkEnd w:id="210"/>
      <w:r>
        <w:rPr>
          <w:rFonts w:hint="eastAsia"/>
        </w:rPr>
        <w:t>①总体情况</w:t>
      </w:r>
    </w:p>
    <w:p>
      <w:pPr>
        <w:pStyle w:val="37"/>
        <w:ind w:firstLine="480"/>
      </w:pPr>
      <w:r>
        <w:rPr>
          <w:rFonts w:hint="eastAsia"/>
        </w:rPr>
        <w:t>总体而言，82.2%的研究生表示发展路径“很清晰”或“清晰”，14.3%认为“不好说”，3.6%则表示“不清晰”。</w:t>
      </w:r>
    </w:p>
    <w:p>
      <w:pPr>
        <w:jc w:val="center"/>
      </w:pPr>
      <w:r>
        <w:rPr>
          <w:rFonts w:hint="eastAsia"/>
        </w:rPr>
        <w:drawing>
          <wp:inline distT="0" distB="0" distL="0" distR="0">
            <wp:extent cx="6076950" cy="3077210"/>
            <wp:effectExtent l="19050" t="0" r="19050" b="8890"/>
            <wp:docPr id="3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59"/>
        <w:spacing w:before="156" w:after="312"/>
      </w:pPr>
      <w:r>
        <w:rPr>
          <w:rFonts w:hint="eastAsia"/>
        </w:rPr>
        <w:t>研究生发展路径情况</w:t>
      </w:r>
    </w:p>
    <w:p>
      <w:pPr>
        <w:pStyle w:val="75"/>
      </w:pPr>
      <w:r>
        <w:rPr>
          <w:rFonts w:hint="eastAsia"/>
        </w:rPr>
        <w:t>②不同专业研究生发展路径</w:t>
      </w:r>
    </w:p>
    <w:p>
      <w:pPr>
        <w:pStyle w:val="37"/>
        <w:ind w:firstLine="480"/>
      </w:pPr>
      <w:r>
        <w:rPr>
          <w:rFonts w:hint="eastAsia"/>
        </w:rPr>
        <w:t>就专业而言，方差检验显示，不同专业的研究生的发展路径不存在显著性差异（F=0.78，p&gt;0.05）。</w:t>
      </w:r>
    </w:p>
    <w:p>
      <w:pPr>
        <w:jc w:val="center"/>
      </w:pPr>
      <w:r>
        <w:rPr>
          <w:rFonts w:hint="eastAsia"/>
        </w:rPr>
        <w:drawing>
          <wp:inline distT="0" distB="0" distL="0" distR="0">
            <wp:extent cx="6124575" cy="3077210"/>
            <wp:effectExtent l="19050" t="0" r="9525" b="8890"/>
            <wp:docPr id="3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59"/>
        <w:spacing w:before="156" w:after="312"/>
      </w:pPr>
      <w:r>
        <w:rPr>
          <w:rFonts w:hint="eastAsia"/>
        </w:rPr>
        <w:t>不同专业研究生发展路径情况</w:t>
      </w:r>
    </w:p>
    <w:p>
      <w:pPr>
        <w:pStyle w:val="53"/>
        <w:spacing w:before="312" w:after="156"/>
      </w:pPr>
      <w:r>
        <w:rPr>
          <w:rFonts w:hint="eastAsia"/>
        </w:rPr>
        <w:t>研究生发展路径情况</w:t>
      </w:r>
    </w:p>
    <w:tbl>
      <w:tblPr>
        <w:tblStyle w:val="33"/>
        <w:tblW w:w="825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174"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很清晰</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清晰</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不清晰</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4.36</w:t>
            </w:r>
          </w:p>
        </w:tc>
        <w:tc>
          <w:tcPr>
            <w:tcW w:w="846" w:type="dxa"/>
            <w:shd w:val="clear" w:color="auto" w:fill="auto"/>
            <w:vAlign w:val="center"/>
          </w:tcPr>
          <w:p>
            <w:pPr>
              <w:widowControl/>
              <w:jc w:val="center"/>
              <w:rPr>
                <w:color w:val="000000"/>
                <w:kern w:val="0"/>
                <w:szCs w:val="21"/>
              </w:rPr>
            </w:pPr>
            <w:r>
              <w:rPr>
                <w:color w:val="000000"/>
                <w:kern w:val="0"/>
                <w:szCs w:val="21"/>
              </w:rPr>
              <w:t>0.67</w:t>
            </w:r>
          </w:p>
        </w:tc>
        <w:tc>
          <w:tcPr>
            <w:tcW w:w="846" w:type="dxa"/>
            <w:vAlign w:val="center"/>
          </w:tcPr>
          <w:p>
            <w:pPr>
              <w:widowControl/>
              <w:jc w:val="center"/>
              <w:rPr>
                <w:color w:val="000000"/>
                <w:kern w:val="0"/>
                <w:szCs w:val="21"/>
              </w:rPr>
            </w:pPr>
            <w:r>
              <w:rPr>
                <w:color w:val="000000"/>
                <w:kern w:val="0"/>
                <w:szCs w:val="21"/>
              </w:rPr>
              <w:t>45.5</w:t>
            </w:r>
          </w:p>
        </w:tc>
        <w:tc>
          <w:tcPr>
            <w:tcW w:w="636" w:type="dxa"/>
            <w:vAlign w:val="center"/>
          </w:tcPr>
          <w:p>
            <w:pPr>
              <w:widowControl/>
              <w:jc w:val="center"/>
              <w:rPr>
                <w:color w:val="000000"/>
                <w:kern w:val="0"/>
                <w:szCs w:val="21"/>
              </w:rPr>
            </w:pPr>
            <w:r>
              <w:rPr>
                <w:color w:val="000000"/>
                <w:kern w:val="0"/>
                <w:szCs w:val="21"/>
              </w:rPr>
              <w:t>45.5</w:t>
            </w:r>
          </w:p>
        </w:tc>
        <w:tc>
          <w:tcPr>
            <w:tcW w:w="846" w:type="dxa"/>
            <w:vAlign w:val="center"/>
          </w:tcPr>
          <w:p>
            <w:pPr>
              <w:widowControl/>
              <w:jc w:val="center"/>
              <w:rPr>
                <w:color w:val="000000"/>
                <w:kern w:val="0"/>
                <w:szCs w:val="21"/>
              </w:rPr>
            </w:pPr>
            <w:r>
              <w:rPr>
                <w:color w:val="000000"/>
                <w:kern w:val="0"/>
                <w:szCs w:val="21"/>
              </w:rPr>
              <w:t>9.1</w:t>
            </w:r>
          </w:p>
        </w:tc>
        <w:tc>
          <w:tcPr>
            <w:tcW w:w="84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F=0.78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4.00</w:t>
            </w:r>
          </w:p>
        </w:tc>
        <w:tc>
          <w:tcPr>
            <w:tcW w:w="846" w:type="dxa"/>
            <w:shd w:val="clear" w:color="auto" w:fill="auto"/>
            <w:vAlign w:val="center"/>
          </w:tcPr>
          <w:p>
            <w:pPr>
              <w:widowControl/>
              <w:jc w:val="center"/>
              <w:rPr>
                <w:color w:val="000000"/>
                <w:kern w:val="0"/>
                <w:szCs w:val="21"/>
              </w:rPr>
            </w:pPr>
            <w:r>
              <w:rPr>
                <w:color w:val="000000"/>
                <w:kern w:val="0"/>
                <w:szCs w:val="21"/>
              </w:rPr>
              <w:t>0.93</w:t>
            </w:r>
          </w:p>
        </w:tc>
        <w:tc>
          <w:tcPr>
            <w:tcW w:w="846" w:type="dxa"/>
            <w:vAlign w:val="center"/>
          </w:tcPr>
          <w:p>
            <w:pPr>
              <w:widowControl/>
              <w:jc w:val="center"/>
              <w:rPr>
                <w:color w:val="000000"/>
                <w:kern w:val="0"/>
                <w:szCs w:val="21"/>
              </w:rPr>
            </w:pPr>
            <w:r>
              <w:rPr>
                <w:color w:val="000000"/>
                <w:kern w:val="0"/>
                <w:szCs w:val="21"/>
              </w:rPr>
              <w:t>33.3</w:t>
            </w:r>
          </w:p>
        </w:tc>
        <w:tc>
          <w:tcPr>
            <w:tcW w:w="636"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20.0</w:t>
            </w:r>
          </w:p>
        </w:tc>
        <w:tc>
          <w:tcPr>
            <w:tcW w:w="846" w:type="dxa"/>
            <w:vAlign w:val="center"/>
          </w:tcPr>
          <w:p>
            <w:pPr>
              <w:widowControl/>
              <w:jc w:val="center"/>
              <w:rPr>
                <w:color w:val="000000"/>
                <w:kern w:val="0"/>
                <w:szCs w:val="21"/>
              </w:rPr>
            </w:pPr>
            <w:r>
              <w:rPr>
                <w:color w:val="000000"/>
                <w:kern w:val="0"/>
                <w:szCs w:val="21"/>
              </w:rPr>
              <w:t>6.7</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4.18</w:t>
            </w:r>
          </w:p>
        </w:tc>
        <w:tc>
          <w:tcPr>
            <w:tcW w:w="846" w:type="dxa"/>
            <w:shd w:val="clear" w:color="auto" w:fill="auto"/>
            <w:vAlign w:val="center"/>
          </w:tcPr>
          <w:p>
            <w:pPr>
              <w:widowControl/>
              <w:jc w:val="center"/>
              <w:rPr>
                <w:color w:val="000000"/>
                <w:kern w:val="0"/>
                <w:szCs w:val="21"/>
              </w:rPr>
            </w:pPr>
            <w:r>
              <w:rPr>
                <w:color w:val="000000"/>
                <w:kern w:val="0"/>
                <w:szCs w:val="21"/>
              </w:rPr>
              <w:t>0.82</w:t>
            </w:r>
          </w:p>
        </w:tc>
        <w:tc>
          <w:tcPr>
            <w:tcW w:w="846" w:type="dxa"/>
            <w:vAlign w:val="center"/>
          </w:tcPr>
          <w:p>
            <w:pPr>
              <w:widowControl/>
              <w:jc w:val="center"/>
              <w:rPr>
                <w:color w:val="000000"/>
                <w:kern w:val="0"/>
                <w:szCs w:val="21"/>
              </w:rPr>
            </w:pPr>
            <w:r>
              <w:rPr>
                <w:color w:val="000000"/>
                <w:kern w:val="0"/>
                <w:szCs w:val="21"/>
              </w:rPr>
              <w:t>39.3</w:t>
            </w:r>
          </w:p>
        </w:tc>
        <w:tc>
          <w:tcPr>
            <w:tcW w:w="636"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14.3</w:t>
            </w:r>
          </w:p>
        </w:tc>
        <w:tc>
          <w:tcPr>
            <w:tcW w:w="846" w:type="dxa"/>
            <w:vAlign w:val="center"/>
          </w:tcPr>
          <w:p>
            <w:pPr>
              <w:widowControl/>
              <w:jc w:val="center"/>
              <w:rPr>
                <w:color w:val="000000"/>
                <w:kern w:val="0"/>
                <w:szCs w:val="21"/>
              </w:rPr>
            </w:pPr>
            <w:r>
              <w:rPr>
                <w:color w:val="000000"/>
                <w:kern w:val="0"/>
                <w:szCs w:val="21"/>
              </w:rPr>
              <w:t>3.6</w:t>
            </w:r>
          </w:p>
        </w:tc>
        <w:tc>
          <w:tcPr>
            <w:tcW w:w="1056" w:type="dxa"/>
            <w:shd w:val="clear" w:color="auto" w:fill="auto"/>
            <w:vAlign w:val="center"/>
          </w:tcPr>
          <w:p>
            <w:pPr>
              <w:widowControl/>
              <w:jc w:val="center"/>
              <w:rPr>
                <w:color w:val="000000"/>
                <w:kern w:val="0"/>
                <w:szCs w:val="21"/>
              </w:rPr>
            </w:pPr>
          </w:p>
        </w:tc>
      </w:tr>
    </w:tbl>
    <w:p>
      <w:pPr>
        <w:pStyle w:val="37"/>
        <w:ind w:firstLine="400"/>
      </w:pPr>
      <w:r>
        <w:rPr>
          <w:rFonts w:hint="eastAsia"/>
          <w:sz w:val="20"/>
          <w:szCs w:val="20"/>
        </w:rPr>
        <w:t>注：得分5=很清晰，4=清晰，3=不好说，2=不清晰，1=很不清晰</w:t>
      </w:r>
    </w:p>
    <w:p>
      <w:pPr>
        <w:pStyle w:val="67"/>
      </w:pPr>
      <w:bookmarkStart w:id="211" w:name="_Toc470167428"/>
      <w:r>
        <w:rPr>
          <w:rFonts w:hint="eastAsia"/>
        </w:rPr>
        <w:t>9、稳定性</w:t>
      </w:r>
      <w:bookmarkEnd w:id="211"/>
    </w:p>
    <w:p>
      <w:pPr>
        <w:pStyle w:val="70"/>
      </w:pPr>
      <w:bookmarkStart w:id="212" w:name="PO_3429"/>
      <w:bookmarkEnd w:id="212"/>
      <w:r>
        <w:rPr>
          <w:rFonts w:hint="eastAsia"/>
        </w:rPr>
        <w:t>（1）总体情况</w:t>
      </w:r>
    </w:p>
    <w:p>
      <w:pPr>
        <w:pStyle w:val="37"/>
        <w:ind w:firstLine="480"/>
      </w:pPr>
      <w:r>
        <w:rPr>
          <w:rFonts w:hint="eastAsia"/>
        </w:rPr>
        <w:t>总体而言，对于在目前单位的预期工作时长，28.6%的研究</w:t>
      </w:r>
      <w:r>
        <w:t>生</w:t>
      </w:r>
      <w:r>
        <w:rPr>
          <w:rFonts w:hint="eastAsia"/>
        </w:rPr>
        <w:t>表示在</w:t>
      </w:r>
      <w:r>
        <w:t>目前单位的</w:t>
      </w:r>
      <w:r>
        <w:rPr>
          <w:rFonts w:hint="eastAsia"/>
        </w:rPr>
        <w:t>预期工作时间是在1年以内，39.3%的</w:t>
      </w:r>
      <w:r>
        <w:t>研究生</w:t>
      </w:r>
      <w:r>
        <w:rPr>
          <w:rFonts w:hint="eastAsia"/>
        </w:rPr>
        <w:t>表示在1到3年之间，10.7%的</w:t>
      </w:r>
      <w:r>
        <w:t>研究生</w:t>
      </w:r>
      <w:r>
        <w:rPr>
          <w:rFonts w:hint="eastAsia"/>
        </w:rPr>
        <w:t>表示在3-5年之间，21.4%的</w:t>
      </w:r>
      <w:r>
        <w:t>研究生</w:t>
      </w:r>
      <w:r>
        <w:rPr>
          <w:rFonts w:hint="eastAsia"/>
        </w:rPr>
        <w:t>表示会工作5年及以上。</w:t>
      </w:r>
    </w:p>
    <w:p>
      <w:pPr>
        <w:jc w:val="center"/>
      </w:pPr>
      <w:r>
        <w:rPr>
          <w:rFonts w:hint="eastAsia"/>
        </w:rPr>
        <w:drawing>
          <wp:inline distT="0" distB="0" distL="0" distR="0">
            <wp:extent cx="6076950" cy="3077210"/>
            <wp:effectExtent l="19050" t="0" r="19050" b="8890"/>
            <wp:docPr id="3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59"/>
        <w:spacing w:before="156" w:after="312"/>
      </w:pPr>
      <w:r>
        <w:rPr>
          <w:rFonts w:hint="eastAsia"/>
        </w:rPr>
        <w:t>研究生预期在目前单位工作时间</w:t>
      </w:r>
    </w:p>
    <w:p>
      <w:pPr>
        <w:pStyle w:val="70"/>
      </w:pPr>
      <w:r>
        <w:rPr>
          <w:rFonts w:hint="eastAsia"/>
        </w:rPr>
        <w:t>（2）不同专业研究生就业稳定性</w:t>
      </w:r>
    </w:p>
    <w:p>
      <w:pPr>
        <w:pStyle w:val="37"/>
        <w:ind w:firstLine="480"/>
      </w:pPr>
      <w:r>
        <w:rPr>
          <w:rFonts w:hint="eastAsia"/>
        </w:rPr>
        <w:t>就专业而言，卡方检验显示，不同专业研究生预期在目前单位工作时长不存在显著性差异（χ²=7.92，p&gt;0.05）。</w:t>
      </w:r>
    </w:p>
    <w:p>
      <w:pPr>
        <w:jc w:val="center"/>
      </w:pPr>
      <w:r>
        <w:rPr>
          <w:rFonts w:hint="eastAsia"/>
        </w:rPr>
        <w:drawing>
          <wp:inline distT="0" distB="0" distL="0" distR="0">
            <wp:extent cx="6315075" cy="3619500"/>
            <wp:effectExtent l="0" t="0" r="0" b="0"/>
            <wp:docPr id="36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59"/>
        <w:spacing w:before="156" w:after="312"/>
      </w:pPr>
      <w:r>
        <w:rPr>
          <w:rFonts w:hint="eastAsia"/>
        </w:rPr>
        <w:t>不同专业研究生预期在目前单位工作时间</w:t>
      </w:r>
    </w:p>
    <w:p>
      <w:pPr>
        <w:pStyle w:val="53"/>
        <w:spacing w:before="312" w:after="156"/>
      </w:pPr>
      <w:r>
        <w:rPr>
          <w:rFonts w:hint="eastAsia"/>
        </w:rPr>
        <w:t>研究生预期在目前单位工作时间</w:t>
      </w:r>
    </w:p>
    <w:tbl>
      <w:tblPr>
        <w:tblStyle w:val="33"/>
        <w:tblW w:w="7610"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1004"/>
        <w:gridCol w:w="899"/>
        <w:gridCol w:w="899"/>
        <w:gridCol w:w="1214"/>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4016"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continue"/>
            <w:shd w:val="clear" w:color="auto" w:fill="auto"/>
            <w:vAlign w:val="center"/>
          </w:tcPr>
          <w:p>
            <w:pPr>
              <w:widowControl/>
              <w:jc w:val="center"/>
              <w:rPr>
                <w:rFonts w:ascii="宋体" w:hAnsi="宋体" w:cs="宋体"/>
                <w:color w:val="000000"/>
                <w:kern w:val="0"/>
                <w:szCs w:val="21"/>
              </w:rPr>
            </w:pP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1年以内</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1～3年</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3～5年</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5年及以上</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36.4</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9.1</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27.3</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x²=7.92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戏剧与影视学</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53.3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13.3</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艺术学理论</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11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100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28.6</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39.3</w:t>
            </w:r>
          </w:p>
        </w:tc>
        <w:tc>
          <w:tcPr>
            <w:tcW w:w="899"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10.7</w:t>
            </w:r>
          </w:p>
        </w:tc>
        <w:tc>
          <w:tcPr>
            <w:tcW w:w="121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21.4</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Pr>
        <w:pStyle w:val="37"/>
        <w:ind w:firstLine="480"/>
      </w:pPr>
    </w:p>
    <w:p>
      <w:pPr>
        <w:pStyle w:val="67"/>
      </w:pPr>
      <w:bookmarkStart w:id="213" w:name="_Toc470167429"/>
      <w:r>
        <w:rPr>
          <w:rFonts w:hint="eastAsia"/>
        </w:rPr>
        <w:t>10、人职匹配情况</w:t>
      </w:r>
      <w:bookmarkEnd w:id="213"/>
    </w:p>
    <w:p>
      <w:pPr>
        <w:pStyle w:val="70"/>
      </w:pPr>
      <w:r>
        <w:rPr>
          <w:rFonts w:hint="eastAsia"/>
        </w:rPr>
        <w:t>（1）所学专业与工作的相关程度</w:t>
      </w:r>
    </w:p>
    <w:p>
      <w:pPr>
        <w:pStyle w:val="75"/>
      </w:pPr>
      <w:bookmarkStart w:id="214" w:name="PO_342101"/>
      <w:bookmarkEnd w:id="214"/>
      <w:r>
        <w:rPr>
          <w:rFonts w:hint="eastAsia"/>
        </w:rPr>
        <w:t>①总体情况</w:t>
      </w:r>
    </w:p>
    <w:p>
      <w:pPr>
        <w:pStyle w:val="37"/>
        <w:ind w:firstLine="480"/>
      </w:pPr>
      <w:r>
        <w:rPr>
          <w:rFonts w:hint="eastAsia"/>
        </w:rPr>
        <w:t>对于所学专业与工作相关程度的评价，92.8%的研究生表示“很相关”或“相关”，7.1%认为“不好说”。</w:t>
      </w:r>
    </w:p>
    <w:p>
      <w:pPr>
        <w:jc w:val="center"/>
      </w:pPr>
      <w:r>
        <w:rPr>
          <w:rFonts w:hint="eastAsia"/>
        </w:rPr>
        <w:drawing>
          <wp:inline distT="0" distB="0" distL="0" distR="0">
            <wp:extent cx="6076950" cy="3077210"/>
            <wp:effectExtent l="19050" t="0" r="19050" b="8890"/>
            <wp:docPr id="18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59"/>
        <w:spacing w:before="156" w:after="312"/>
      </w:pPr>
      <w:r>
        <w:rPr>
          <w:rFonts w:hint="eastAsia"/>
        </w:rPr>
        <w:t>研究生所学专业与工作相关程度</w:t>
      </w:r>
    </w:p>
    <w:p>
      <w:pPr>
        <w:pStyle w:val="75"/>
      </w:pPr>
      <w:r>
        <w:rPr>
          <w:rFonts w:hint="eastAsia"/>
        </w:rPr>
        <w:t>②不同专业研究生对所学专业与工作相关程度的评价</w:t>
      </w:r>
    </w:p>
    <w:p>
      <w:pPr>
        <w:pStyle w:val="37"/>
        <w:ind w:firstLine="480"/>
      </w:pPr>
      <w:r>
        <w:rPr>
          <w:rFonts w:hint="eastAsia"/>
        </w:rPr>
        <w:t>就专业而言，方差检验显示，不同专业的研究生对所学专业与工作相关程度的评价不存在显著性差异（F=0.42，p&gt;0.05）。</w:t>
      </w:r>
    </w:p>
    <w:p>
      <w:pPr>
        <w:jc w:val="center"/>
      </w:pPr>
      <w:r>
        <w:rPr>
          <w:rFonts w:hint="eastAsia"/>
        </w:rPr>
        <w:drawing>
          <wp:inline distT="0" distB="0" distL="0" distR="0">
            <wp:extent cx="6124575" cy="3077210"/>
            <wp:effectExtent l="19050" t="0" r="9525" b="8890"/>
            <wp:docPr id="1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59"/>
        <w:spacing w:before="156" w:after="312"/>
      </w:pPr>
      <w:r>
        <w:rPr>
          <w:rFonts w:hint="eastAsia"/>
        </w:rPr>
        <w:t>不同专业研究生所学专业与工作相关程度</w:t>
      </w:r>
    </w:p>
    <w:p>
      <w:pPr>
        <w:pStyle w:val="53"/>
        <w:spacing w:before="312" w:after="156"/>
      </w:pPr>
      <w:r>
        <w:rPr>
          <w:rFonts w:hint="eastAsia"/>
        </w:rPr>
        <w:t>研究生所学专业与工作相关程度</w:t>
      </w:r>
    </w:p>
    <w:tbl>
      <w:tblPr>
        <w:tblStyle w:val="33"/>
        <w:tblW w:w="740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32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很相关</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相关</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4.64</w:t>
            </w:r>
          </w:p>
        </w:tc>
        <w:tc>
          <w:tcPr>
            <w:tcW w:w="846" w:type="dxa"/>
            <w:shd w:val="clear" w:color="auto" w:fill="auto"/>
            <w:vAlign w:val="center"/>
          </w:tcPr>
          <w:p>
            <w:pPr>
              <w:widowControl/>
              <w:jc w:val="center"/>
              <w:rPr>
                <w:color w:val="000000"/>
                <w:kern w:val="0"/>
                <w:szCs w:val="21"/>
              </w:rPr>
            </w:pPr>
            <w:r>
              <w:rPr>
                <w:color w:val="000000"/>
                <w:kern w:val="0"/>
                <w:szCs w:val="21"/>
              </w:rPr>
              <w:t>0.50</w:t>
            </w:r>
          </w:p>
        </w:tc>
        <w:tc>
          <w:tcPr>
            <w:tcW w:w="846" w:type="dxa"/>
            <w:vAlign w:val="center"/>
          </w:tcPr>
          <w:p>
            <w:pPr>
              <w:widowControl/>
              <w:jc w:val="center"/>
              <w:rPr>
                <w:color w:val="000000"/>
                <w:kern w:val="0"/>
                <w:szCs w:val="21"/>
              </w:rPr>
            </w:pPr>
            <w:r>
              <w:rPr>
                <w:color w:val="000000"/>
                <w:kern w:val="0"/>
                <w:szCs w:val="21"/>
              </w:rPr>
              <w:t>63.6</w:t>
            </w:r>
          </w:p>
        </w:tc>
        <w:tc>
          <w:tcPr>
            <w:tcW w:w="636" w:type="dxa"/>
            <w:vAlign w:val="center"/>
          </w:tcPr>
          <w:p>
            <w:pPr>
              <w:widowControl/>
              <w:jc w:val="center"/>
              <w:rPr>
                <w:color w:val="000000"/>
                <w:kern w:val="0"/>
                <w:szCs w:val="21"/>
              </w:rPr>
            </w:pPr>
            <w:r>
              <w:rPr>
                <w:color w:val="000000"/>
                <w:kern w:val="0"/>
                <w:szCs w:val="21"/>
              </w:rPr>
              <w:t>36.4</w:t>
            </w:r>
          </w:p>
        </w:tc>
        <w:tc>
          <w:tcPr>
            <w:tcW w:w="846" w:type="dxa"/>
            <w:vAlign w:val="center"/>
          </w:tcPr>
          <w:p>
            <w:pPr>
              <w:widowControl/>
              <w:jc w:val="center"/>
              <w:rPr>
                <w:color w:val="000000"/>
                <w:kern w:val="0"/>
                <w:szCs w:val="21"/>
              </w:rPr>
            </w:pPr>
            <w:r>
              <w:rPr>
                <w:color w:val="000000"/>
                <w:kern w:val="0"/>
                <w:szCs w:val="21"/>
              </w:rPr>
              <w:t>0.0</w:t>
            </w:r>
          </w:p>
        </w:tc>
        <w:tc>
          <w:tcPr>
            <w:tcW w:w="1056" w:type="dxa"/>
            <w:vMerge w:val="restart"/>
            <w:shd w:val="clear" w:color="auto" w:fill="auto"/>
            <w:vAlign w:val="center"/>
          </w:tcPr>
          <w:p>
            <w:pPr>
              <w:jc w:val="center"/>
              <w:rPr>
                <w:color w:val="000000"/>
                <w:kern w:val="0"/>
                <w:szCs w:val="21"/>
              </w:rPr>
            </w:pPr>
            <w:r>
              <w:rPr>
                <w:color w:val="000000"/>
                <w:kern w:val="0"/>
                <w:szCs w:val="21"/>
              </w:rPr>
              <w:t>F=0.42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4.40</w:t>
            </w:r>
          </w:p>
        </w:tc>
        <w:tc>
          <w:tcPr>
            <w:tcW w:w="846" w:type="dxa"/>
            <w:shd w:val="clear" w:color="auto" w:fill="auto"/>
            <w:vAlign w:val="center"/>
          </w:tcPr>
          <w:p>
            <w:pPr>
              <w:widowControl/>
              <w:jc w:val="center"/>
              <w:rPr>
                <w:color w:val="000000"/>
                <w:kern w:val="0"/>
                <w:szCs w:val="21"/>
              </w:rPr>
            </w:pPr>
            <w:r>
              <w:rPr>
                <w:color w:val="000000"/>
                <w:kern w:val="0"/>
                <w:szCs w:val="21"/>
              </w:rPr>
              <w:t>0.74</w:t>
            </w:r>
          </w:p>
        </w:tc>
        <w:tc>
          <w:tcPr>
            <w:tcW w:w="846" w:type="dxa"/>
            <w:vAlign w:val="center"/>
          </w:tcPr>
          <w:p>
            <w:pPr>
              <w:widowControl/>
              <w:jc w:val="center"/>
              <w:rPr>
                <w:color w:val="000000"/>
                <w:kern w:val="0"/>
                <w:szCs w:val="21"/>
              </w:rPr>
            </w:pPr>
            <w:r>
              <w:rPr>
                <w:color w:val="000000"/>
                <w:kern w:val="0"/>
                <w:szCs w:val="21"/>
              </w:rPr>
              <w:t>53.3</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13.3</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0.64</w:t>
            </w:r>
          </w:p>
        </w:tc>
        <w:tc>
          <w:tcPr>
            <w:tcW w:w="846" w:type="dxa"/>
            <w:vAlign w:val="center"/>
          </w:tcPr>
          <w:p>
            <w:pPr>
              <w:widowControl/>
              <w:jc w:val="center"/>
              <w:rPr>
                <w:color w:val="000000"/>
                <w:kern w:val="0"/>
                <w:szCs w:val="21"/>
              </w:rPr>
            </w:pPr>
            <w:r>
              <w:rPr>
                <w:color w:val="000000"/>
                <w:kern w:val="0"/>
                <w:szCs w:val="21"/>
              </w:rPr>
              <w:t>57.1</w:t>
            </w:r>
          </w:p>
        </w:tc>
        <w:tc>
          <w:tcPr>
            <w:tcW w:w="636" w:type="dxa"/>
            <w:vAlign w:val="center"/>
          </w:tcPr>
          <w:p>
            <w:pPr>
              <w:widowControl/>
              <w:jc w:val="center"/>
              <w:rPr>
                <w:color w:val="000000"/>
                <w:kern w:val="0"/>
                <w:szCs w:val="21"/>
              </w:rPr>
            </w:pPr>
            <w:r>
              <w:rPr>
                <w:color w:val="000000"/>
                <w:kern w:val="0"/>
                <w:szCs w:val="21"/>
              </w:rPr>
              <w:t>35.7</w:t>
            </w:r>
          </w:p>
        </w:tc>
        <w:tc>
          <w:tcPr>
            <w:tcW w:w="846" w:type="dxa"/>
            <w:vAlign w:val="center"/>
          </w:tcPr>
          <w:p>
            <w:pPr>
              <w:widowControl/>
              <w:jc w:val="center"/>
              <w:rPr>
                <w:color w:val="000000"/>
                <w:kern w:val="0"/>
                <w:szCs w:val="21"/>
              </w:rPr>
            </w:pPr>
            <w:r>
              <w:rPr>
                <w:color w:val="000000"/>
                <w:kern w:val="0"/>
                <w:szCs w:val="21"/>
              </w:rPr>
              <w:t>7.1</w:t>
            </w:r>
          </w:p>
        </w:tc>
        <w:tc>
          <w:tcPr>
            <w:tcW w:w="1056" w:type="dxa"/>
            <w:shd w:val="clear" w:color="auto" w:fill="auto"/>
            <w:vAlign w:val="center"/>
          </w:tcPr>
          <w:p>
            <w:pPr>
              <w:widowControl/>
              <w:jc w:val="center"/>
              <w:rPr>
                <w:color w:val="000000"/>
                <w:kern w:val="0"/>
                <w:szCs w:val="21"/>
              </w:rPr>
            </w:pPr>
          </w:p>
        </w:tc>
      </w:tr>
    </w:tbl>
    <w:p>
      <w:pPr>
        <w:pStyle w:val="37"/>
        <w:ind w:firstLine="400"/>
      </w:pPr>
      <w:r>
        <w:rPr>
          <w:rFonts w:hint="eastAsia"/>
          <w:sz w:val="20"/>
          <w:szCs w:val="20"/>
        </w:rPr>
        <w:t>注：得分5=很相关，4=相关，3=不好说，2=不相关，1=很不相关</w:t>
      </w:r>
    </w:p>
    <w:p>
      <w:pPr>
        <w:pStyle w:val="70"/>
      </w:pPr>
      <w:r>
        <w:rPr>
          <w:rFonts w:hint="eastAsia"/>
        </w:rPr>
        <w:t>（2）教育层次与工作的适配情况</w:t>
      </w:r>
    </w:p>
    <w:p>
      <w:pPr>
        <w:pStyle w:val="75"/>
      </w:pPr>
      <w:bookmarkStart w:id="215" w:name="PO_342102"/>
      <w:bookmarkEnd w:id="215"/>
      <w:r>
        <w:rPr>
          <w:rFonts w:hint="eastAsia"/>
        </w:rPr>
        <w:t>①总体情况</w:t>
      </w:r>
    </w:p>
    <w:p>
      <w:pPr>
        <w:pStyle w:val="37"/>
        <w:ind w:firstLine="480"/>
      </w:pPr>
      <w:r>
        <w:rPr>
          <w:rFonts w:hint="eastAsia"/>
        </w:rPr>
        <w:t>从学历层次与岗位要求的匹配程度看，35.7%的研究生表示教育层次高于岗位要求，64.3%的研究生表示教育层次恰好满足岗位要求。</w:t>
      </w:r>
    </w:p>
    <w:p>
      <w:pPr>
        <w:jc w:val="center"/>
      </w:pPr>
      <w:r>
        <w:rPr>
          <w:rFonts w:hint="eastAsia"/>
        </w:rPr>
        <w:drawing>
          <wp:inline distT="0" distB="0" distL="0" distR="0">
            <wp:extent cx="6076950" cy="3077210"/>
            <wp:effectExtent l="19050" t="0" r="19050" b="8890"/>
            <wp:docPr id="1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59"/>
        <w:spacing w:before="156" w:after="312"/>
      </w:pPr>
      <w:r>
        <w:rPr>
          <w:rFonts w:hint="eastAsia"/>
        </w:rPr>
        <w:t>研究生教育层次与工作的适配情况</w:t>
      </w:r>
    </w:p>
    <w:p>
      <w:pPr>
        <w:pStyle w:val="75"/>
      </w:pPr>
      <w:r>
        <w:rPr>
          <w:rFonts w:hint="eastAsia"/>
        </w:rPr>
        <w:t>②不同专业研究生教育层次与工作适配情况</w:t>
      </w:r>
    </w:p>
    <w:p>
      <w:pPr>
        <w:pStyle w:val="37"/>
        <w:ind w:firstLine="480"/>
      </w:pPr>
      <w:r>
        <w:rPr>
          <w:rFonts w:hint="eastAsia"/>
        </w:rPr>
        <w:t>就专业而言，卡方检验显示，不同专业研究生的教育层次与工作适配情况不存在显著性差异（χ²=1.60，p&gt;0.05）。</w:t>
      </w:r>
    </w:p>
    <w:p>
      <w:pPr>
        <w:jc w:val="center"/>
      </w:pPr>
      <w:r>
        <w:rPr>
          <w:rFonts w:hint="eastAsia"/>
        </w:rPr>
        <w:drawing>
          <wp:inline distT="0" distB="0" distL="0" distR="0">
            <wp:extent cx="6391275" cy="3571875"/>
            <wp:effectExtent l="0" t="0" r="0" b="0"/>
            <wp:docPr id="18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59"/>
        <w:spacing w:before="156" w:after="312"/>
      </w:pPr>
      <w:r>
        <w:rPr>
          <w:rFonts w:hint="eastAsia"/>
        </w:rPr>
        <w:t>不同专业研究生教育层次与工作的适配情况</w:t>
      </w:r>
    </w:p>
    <w:p>
      <w:pPr>
        <w:pStyle w:val="53"/>
        <w:spacing w:before="312" w:after="156"/>
      </w:pPr>
      <w:r>
        <w:rPr>
          <w:rFonts w:hint="eastAsia"/>
        </w:rPr>
        <w:t>研究生教育层次与工作的适配情况</w:t>
      </w:r>
    </w:p>
    <w:tbl>
      <w:tblPr>
        <w:tblStyle w:val="33"/>
        <w:tblW w:w="696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1476"/>
        <w:gridCol w:w="189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restart"/>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restart"/>
            <w:shd w:val="clear" w:color="auto" w:fill="auto"/>
            <w:vAlign w:val="center"/>
          </w:tcPr>
          <w:p>
            <w:pPr>
              <w:jc w:val="center"/>
              <w:rPr>
                <w:rFonts w:ascii="宋体" w:hAnsi="宋体"/>
                <w:color w:val="000000"/>
                <w:kern w:val="0"/>
                <w:szCs w:val="21"/>
              </w:rPr>
            </w:pPr>
            <w:r>
              <w:rPr>
                <w:rFonts w:ascii="宋体" w:hAnsi="宋体"/>
                <w:color w:val="000000"/>
                <w:kern w:val="0"/>
                <w:szCs w:val="21"/>
              </w:rPr>
              <w:t>N</w:t>
            </w:r>
          </w:p>
        </w:tc>
        <w:tc>
          <w:tcPr>
            <w:tcW w:w="3372" w:type="dxa"/>
            <w:gridSpan w:val="2"/>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vMerge w:val="restart"/>
            <w:shd w:val="clear" w:color="auto" w:fill="auto"/>
            <w:vAlign w:val="center"/>
          </w:tcPr>
          <w:p>
            <w:pPr>
              <w:jc w:val="center"/>
              <w:rPr>
                <w:rFonts w:ascii="宋体" w:hAnsi="宋体" w:cs="宋体"/>
                <w:color w:val="000000"/>
                <w:kern w:val="0"/>
                <w:szCs w:val="21"/>
              </w:rPr>
            </w:pPr>
            <w:r>
              <w:rPr>
                <w:rFonts w:hint="eastAsia" w:ascii="Times New Roman" w:hAnsi="Times New Roman" w:cs="Times New Roman"/>
                <w:color w:val="000000"/>
                <w:kern w:val="0"/>
                <w:szCs w:val="21"/>
              </w:rPr>
              <w:t>卡方检验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shd w:val="clear" w:color="auto" w:fill="auto"/>
            <w:vAlign w:val="center"/>
          </w:tcPr>
          <w:p>
            <w:pPr>
              <w:widowControl/>
              <w:jc w:val="center"/>
              <w:rPr>
                <w:rFonts w:ascii="Arial" w:hAnsi="Arial" w:cs="Arial"/>
                <w:kern w:val="0"/>
                <w:sz w:val="20"/>
                <w:szCs w:val="20"/>
              </w:rPr>
            </w:pPr>
          </w:p>
        </w:tc>
        <w:tc>
          <w:tcPr>
            <w:tcW w:w="1476" w:type="dxa"/>
            <w:vMerge w:val="continue"/>
            <w:tcBorders>
              <w:left w:val="dotted" w:color="00B050" w:sz="8" w:space="0"/>
            </w:tcBorders>
            <w:shd w:val="clear" w:color="auto" w:fill="auto"/>
            <w:vAlign w:val="center"/>
          </w:tcPr>
          <w:p>
            <w:pPr>
              <w:widowControl/>
              <w:jc w:val="center"/>
              <w:rPr>
                <w:rFonts w:ascii="Arial" w:hAnsi="Arial" w:cs="Arial"/>
                <w:kern w:val="0"/>
                <w:sz w:val="20"/>
                <w:szCs w:val="20"/>
              </w:rPr>
            </w:pPr>
          </w:p>
        </w:tc>
        <w:tc>
          <w:tcPr>
            <w:tcW w:w="426" w:type="dxa"/>
            <w:vMerge w:val="continue"/>
            <w:shd w:val="clear" w:color="auto" w:fill="auto"/>
            <w:vAlign w:val="center"/>
          </w:tcPr>
          <w:p>
            <w:pPr>
              <w:widowControl/>
              <w:jc w:val="center"/>
              <w:rPr>
                <w:rFonts w:ascii="宋体" w:hAnsi="宋体" w:cs="宋体"/>
                <w:color w:val="000000"/>
                <w:kern w:val="0"/>
                <w:szCs w:val="21"/>
              </w:rPr>
            </w:pPr>
          </w:p>
        </w:tc>
        <w:tc>
          <w:tcPr>
            <w:tcW w:w="147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高于岗位要求</w:t>
            </w:r>
          </w:p>
        </w:tc>
        <w:tc>
          <w:tcPr>
            <w:tcW w:w="1896"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恰好满足岗位要求</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restart"/>
            <w:shd w:val="clear" w:color="auto" w:fill="auto"/>
            <w:vAlign w:val="center"/>
          </w:tcPr>
          <w:p>
            <w:pPr>
              <w:widowControl/>
              <w:jc w:val="center"/>
              <w:rPr>
                <w:rFonts w:ascii="宋体" w:hAnsi="宋体" w:cs="Arial"/>
                <w:kern w:val="0"/>
                <w:szCs w:val="21"/>
              </w:rPr>
            </w:pPr>
            <w:r>
              <w:rPr>
                <w:rFonts w:hint="eastAsia" w:ascii="宋体" w:hAnsi="宋体" w:cs="Arial"/>
                <w:kern w:val="0"/>
                <w:szCs w:val="21"/>
              </w:rPr>
              <w:t>专业</w:t>
            </w: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45.5</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54.5</w:t>
            </w:r>
          </w:p>
        </w:tc>
        <w:tc>
          <w:tcPr>
            <w:tcW w:w="1056" w:type="dxa"/>
            <w:vMerge w:val="restart"/>
            <w:shd w:val="clear" w:color="auto" w:fill="auto"/>
            <w:vAlign w:val="center"/>
          </w:tcPr>
          <w:p>
            <w:pPr>
              <w:jc w:val="center"/>
              <w:rPr>
                <w:rFonts w:ascii="Times New Roman" w:hAnsi="Times New Roman" w:cs="Times New Roman"/>
                <w:color w:val="000000"/>
                <w:kern w:val="0"/>
                <w:szCs w:val="21"/>
              </w:rPr>
            </w:pPr>
            <w:r>
              <w:rPr>
                <w:rFonts w:ascii="Times New Roman" w:hAnsi="Times New Roman" w:cs="Times New Roman"/>
                <w:color w:val="000000"/>
                <w:kern w:val="0"/>
                <w:szCs w:val="21"/>
              </w:rPr>
              <w:t>x²=1.60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戏剧与影视学</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33.3</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66.7</w:t>
            </w:r>
          </w:p>
        </w:tc>
        <w:tc>
          <w:tcPr>
            <w:tcW w:w="1056" w:type="dxa"/>
            <w:vMerge w:val="continue"/>
            <w:shd w:val="clear" w:color="auto" w:fill="auto"/>
            <w:vAlign w:val="center"/>
          </w:tcPr>
          <w:p>
            <w:pPr>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shd w:val="clear" w:color="auto" w:fill="auto"/>
            <w:vAlign w:val="center"/>
          </w:tcPr>
          <w:p>
            <w:pPr>
              <w:widowControl/>
              <w:jc w:val="center"/>
              <w:rPr>
                <w:rFonts w:ascii="宋体" w:hAnsi="宋体" w:cs="Arial"/>
                <w:kern w:val="0"/>
                <w:szCs w:val="21"/>
              </w:rPr>
            </w:pPr>
          </w:p>
        </w:tc>
        <w:tc>
          <w:tcPr>
            <w:tcW w:w="1476" w:type="dxa"/>
            <w:shd w:val="clear" w:color="auto" w:fill="auto"/>
            <w:vAlign w:val="center"/>
          </w:tcPr>
          <w:p>
            <w:pPr>
              <w:widowControl/>
              <w:rPr>
                <w:rFonts w:ascii="宋体" w:hAnsi="宋体" w:cs="Arial"/>
                <w:kern w:val="0"/>
                <w:szCs w:val="21"/>
              </w:rPr>
            </w:pPr>
            <w:r>
              <w:rPr>
                <w:rFonts w:hint="eastAsia" w:ascii="宋体" w:hAnsi="宋体" w:cs="Arial"/>
                <w:kern w:val="0"/>
                <w:szCs w:val="21"/>
              </w:rPr>
              <w:t>艺术学理论</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056" w:type="dxa"/>
            <w:vMerge w:val="continue"/>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85" w:hRule="atLeast"/>
          <w:jc w:val="center"/>
        </w:trPr>
        <w:tc>
          <w:tcPr>
            <w:tcW w:w="2112" w:type="dxa"/>
            <w:gridSpan w:val="2"/>
            <w:shd w:val="clear" w:color="auto" w:fill="auto"/>
            <w:vAlign w:val="center"/>
          </w:tcPr>
          <w:p>
            <w:pPr>
              <w:widowControl/>
              <w:rPr>
                <w:rFonts w:ascii="宋体" w:hAnsi="宋体" w:cs="Arial"/>
                <w:kern w:val="0"/>
                <w:szCs w:val="21"/>
              </w:rPr>
            </w:pPr>
            <w:r>
              <w:rPr>
                <w:rFonts w:hint="eastAsia" w:ascii="宋体" w:hAnsi="宋体" w:cs="Arial"/>
                <w:kern w:val="0"/>
                <w:szCs w:val="21"/>
              </w:rPr>
              <w:t>总体</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35.7</w:t>
            </w:r>
          </w:p>
        </w:tc>
        <w:tc>
          <w:tcPr>
            <w:tcW w:w="189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64.3</w:t>
            </w:r>
          </w:p>
        </w:tc>
        <w:tc>
          <w:tcPr>
            <w:tcW w:w="1056" w:type="dxa"/>
            <w:shd w:val="clear" w:color="auto" w:fill="auto"/>
            <w:vAlign w:val="center"/>
          </w:tcPr>
          <w:p>
            <w:pPr>
              <w:widowControl/>
              <w:jc w:val="center"/>
              <w:rPr>
                <w:rFonts w:ascii="Times New Roman" w:hAnsi="Times New Roman" w:cs="Times New Roman"/>
                <w:color w:val="000000"/>
                <w:kern w:val="0"/>
                <w:szCs w:val="21"/>
              </w:rPr>
            </w:pPr>
          </w:p>
        </w:tc>
      </w:tr>
    </w:tbl>
    <w:p/>
    <w:p>
      <w:pPr>
        <w:pStyle w:val="67"/>
      </w:pPr>
      <w:bookmarkStart w:id="216" w:name="_Toc470167430"/>
      <w:r>
        <w:rPr>
          <w:rFonts w:hint="eastAsia"/>
        </w:rPr>
        <w:t>11、落实工作与期望相符情况</w:t>
      </w:r>
      <w:bookmarkEnd w:id="216"/>
    </w:p>
    <w:p>
      <w:pPr>
        <w:pStyle w:val="70"/>
      </w:pPr>
      <w:bookmarkStart w:id="217" w:name="PO_3425"/>
      <w:bookmarkEnd w:id="217"/>
      <w:r>
        <w:rPr>
          <w:rFonts w:hint="eastAsia"/>
        </w:rPr>
        <w:t>（1）总体情况</w:t>
      </w:r>
    </w:p>
    <w:p>
      <w:pPr>
        <w:pStyle w:val="37"/>
        <w:ind w:firstLine="480"/>
      </w:pPr>
      <w:r>
        <w:rPr>
          <w:rFonts w:hint="eastAsia"/>
        </w:rPr>
        <w:t>总体而言，78.6%的研究生表示“很相符”或“相符”，21.4%认为“不好说”。</w:t>
      </w:r>
    </w:p>
    <w:p>
      <w:pPr>
        <w:jc w:val="center"/>
      </w:pPr>
      <w:r>
        <w:rPr>
          <w:rFonts w:hint="eastAsia"/>
        </w:rPr>
        <w:drawing>
          <wp:inline distT="0" distB="0" distL="0" distR="0">
            <wp:extent cx="6076950" cy="3077210"/>
            <wp:effectExtent l="19050" t="0" r="19050" b="8890"/>
            <wp:docPr id="3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59"/>
        <w:spacing w:before="156" w:after="312"/>
      </w:pPr>
      <w:r>
        <w:rPr>
          <w:rFonts w:hint="eastAsia"/>
        </w:rPr>
        <w:t>研究生落实工作与期望相符情况</w:t>
      </w:r>
    </w:p>
    <w:p>
      <w:pPr>
        <w:pStyle w:val="70"/>
      </w:pPr>
      <w:r>
        <w:rPr>
          <w:rFonts w:hint="eastAsia"/>
        </w:rPr>
        <w:t>（2）不同专业研究生落实工作与期望相符情况</w:t>
      </w:r>
    </w:p>
    <w:p>
      <w:pPr>
        <w:pStyle w:val="37"/>
        <w:ind w:firstLine="480"/>
      </w:pPr>
      <w:r>
        <w:rPr>
          <w:rFonts w:hint="eastAsia"/>
        </w:rPr>
        <w:t>就专业而言，方差检验显示，不同专业的研究生落实工作与期望相符情况不存在显著性差异（F=0.30，p&gt;0.05）。</w:t>
      </w:r>
    </w:p>
    <w:p>
      <w:pPr>
        <w:jc w:val="center"/>
      </w:pPr>
      <w:r>
        <w:rPr>
          <w:rFonts w:hint="eastAsia"/>
        </w:rPr>
        <w:drawing>
          <wp:inline distT="0" distB="0" distL="0" distR="0">
            <wp:extent cx="6124575" cy="3077210"/>
            <wp:effectExtent l="0" t="0" r="0" b="0"/>
            <wp:docPr id="3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59"/>
        <w:spacing w:before="156" w:after="312"/>
      </w:pPr>
      <w:r>
        <w:rPr>
          <w:rFonts w:hint="eastAsia"/>
        </w:rPr>
        <w:t>不同专业研究生落实工作与期望相符情况</w:t>
      </w:r>
    </w:p>
    <w:p>
      <w:pPr>
        <w:pStyle w:val="53"/>
        <w:spacing w:before="312" w:after="156"/>
      </w:pPr>
      <w:r>
        <w:rPr>
          <w:rFonts w:hint="eastAsia"/>
        </w:rPr>
        <w:t>研究生落实工作与期望相符情况</w:t>
      </w:r>
    </w:p>
    <w:tbl>
      <w:tblPr>
        <w:tblStyle w:val="33"/>
        <w:tblW w:w="740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2328" w:type="dxa"/>
            <w:gridSpan w:val="3"/>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很相符</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相符</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4.18</w:t>
            </w:r>
          </w:p>
        </w:tc>
        <w:tc>
          <w:tcPr>
            <w:tcW w:w="846" w:type="dxa"/>
            <w:shd w:val="clear" w:color="auto" w:fill="auto"/>
            <w:vAlign w:val="center"/>
          </w:tcPr>
          <w:p>
            <w:pPr>
              <w:widowControl/>
              <w:jc w:val="center"/>
              <w:rPr>
                <w:color w:val="000000"/>
                <w:kern w:val="0"/>
                <w:szCs w:val="21"/>
              </w:rPr>
            </w:pPr>
            <w:r>
              <w:rPr>
                <w:color w:val="000000"/>
                <w:kern w:val="0"/>
                <w:szCs w:val="21"/>
              </w:rPr>
              <w:t>0.75</w:t>
            </w:r>
          </w:p>
        </w:tc>
        <w:tc>
          <w:tcPr>
            <w:tcW w:w="846" w:type="dxa"/>
            <w:vAlign w:val="center"/>
          </w:tcPr>
          <w:p>
            <w:pPr>
              <w:widowControl/>
              <w:jc w:val="center"/>
              <w:rPr>
                <w:color w:val="000000"/>
                <w:kern w:val="0"/>
                <w:szCs w:val="21"/>
              </w:rPr>
            </w:pPr>
            <w:r>
              <w:rPr>
                <w:color w:val="000000"/>
                <w:kern w:val="0"/>
                <w:szCs w:val="21"/>
              </w:rPr>
              <w:t>36.4</w:t>
            </w:r>
          </w:p>
        </w:tc>
        <w:tc>
          <w:tcPr>
            <w:tcW w:w="636" w:type="dxa"/>
            <w:vAlign w:val="center"/>
          </w:tcPr>
          <w:p>
            <w:pPr>
              <w:widowControl/>
              <w:jc w:val="center"/>
              <w:rPr>
                <w:color w:val="000000"/>
                <w:kern w:val="0"/>
                <w:szCs w:val="21"/>
              </w:rPr>
            </w:pPr>
            <w:r>
              <w:rPr>
                <w:color w:val="000000"/>
                <w:kern w:val="0"/>
                <w:szCs w:val="21"/>
              </w:rPr>
              <w:t>45.5</w:t>
            </w:r>
          </w:p>
        </w:tc>
        <w:tc>
          <w:tcPr>
            <w:tcW w:w="846" w:type="dxa"/>
            <w:vAlign w:val="center"/>
          </w:tcPr>
          <w:p>
            <w:pPr>
              <w:widowControl/>
              <w:jc w:val="center"/>
              <w:rPr>
                <w:color w:val="000000"/>
                <w:kern w:val="0"/>
                <w:szCs w:val="21"/>
              </w:rPr>
            </w:pPr>
            <w:r>
              <w:rPr>
                <w:color w:val="000000"/>
                <w:kern w:val="0"/>
                <w:szCs w:val="21"/>
              </w:rPr>
              <w:t>18.2</w:t>
            </w:r>
          </w:p>
        </w:tc>
        <w:tc>
          <w:tcPr>
            <w:tcW w:w="1056" w:type="dxa"/>
            <w:vMerge w:val="restart"/>
            <w:shd w:val="clear" w:color="auto" w:fill="auto"/>
            <w:vAlign w:val="center"/>
          </w:tcPr>
          <w:p>
            <w:pPr>
              <w:jc w:val="center"/>
              <w:rPr>
                <w:color w:val="000000"/>
                <w:kern w:val="0"/>
                <w:szCs w:val="21"/>
              </w:rPr>
            </w:pPr>
            <w:r>
              <w:rPr>
                <w:color w:val="000000"/>
                <w:kern w:val="0"/>
                <w:szCs w:val="21"/>
              </w:rPr>
              <w:t>F=0.30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4.07</w:t>
            </w:r>
          </w:p>
        </w:tc>
        <w:tc>
          <w:tcPr>
            <w:tcW w:w="846" w:type="dxa"/>
            <w:shd w:val="clear" w:color="auto" w:fill="auto"/>
            <w:vAlign w:val="center"/>
          </w:tcPr>
          <w:p>
            <w:pPr>
              <w:widowControl/>
              <w:jc w:val="center"/>
              <w:rPr>
                <w:color w:val="000000"/>
                <w:kern w:val="0"/>
                <w:szCs w:val="21"/>
              </w:rPr>
            </w:pPr>
            <w:r>
              <w:rPr>
                <w:color w:val="000000"/>
                <w:kern w:val="0"/>
                <w:szCs w:val="21"/>
              </w:rPr>
              <w:t>0.80</w:t>
            </w:r>
          </w:p>
        </w:tc>
        <w:tc>
          <w:tcPr>
            <w:tcW w:w="846" w:type="dxa"/>
            <w:vAlign w:val="center"/>
          </w:tcPr>
          <w:p>
            <w:pPr>
              <w:widowControl/>
              <w:jc w:val="center"/>
              <w:rPr>
                <w:color w:val="000000"/>
                <w:kern w:val="0"/>
                <w:szCs w:val="21"/>
              </w:rPr>
            </w:pPr>
            <w:r>
              <w:rPr>
                <w:color w:val="000000"/>
                <w:kern w:val="0"/>
                <w:szCs w:val="21"/>
              </w:rPr>
              <w:t>33.3</w:t>
            </w:r>
          </w:p>
        </w:tc>
        <w:tc>
          <w:tcPr>
            <w:tcW w:w="636" w:type="dxa"/>
            <w:vAlign w:val="center"/>
          </w:tcPr>
          <w:p>
            <w:pPr>
              <w:widowControl/>
              <w:jc w:val="center"/>
              <w:rPr>
                <w:color w:val="000000"/>
                <w:kern w:val="0"/>
                <w:szCs w:val="21"/>
              </w:rPr>
            </w:pPr>
            <w:r>
              <w:rPr>
                <w:color w:val="000000"/>
                <w:kern w:val="0"/>
                <w:szCs w:val="21"/>
              </w:rPr>
              <w:t>40.0</w:t>
            </w:r>
          </w:p>
        </w:tc>
        <w:tc>
          <w:tcPr>
            <w:tcW w:w="846" w:type="dxa"/>
            <w:vAlign w:val="center"/>
          </w:tcPr>
          <w:p>
            <w:pPr>
              <w:widowControl/>
              <w:jc w:val="center"/>
              <w:rPr>
                <w:color w:val="000000"/>
                <w:kern w:val="0"/>
                <w:szCs w:val="21"/>
              </w:rPr>
            </w:pPr>
            <w:r>
              <w:rPr>
                <w:color w:val="000000"/>
                <w:kern w:val="0"/>
                <w:szCs w:val="21"/>
              </w:rPr>
              <w:t>26.7</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4.50</w:t>
            </w:r>
          </w:p>
        </w:tc>
        <w:tc>
          <w:tcPr>
            <w:tcW w:w="846" w:type="dxa"/>
            <w:shd w:val="clear" w:color="auto" w:fill="auto"/>
            <w:vAlign w:val="center"/>
          </w:tcPr>
          <w:p>
            <w:pPr>
              <w:widowControl/>
              <w:jc w:val="center"/>
              <w:rPr>
                <w:color w:val="000000"/>
                <w:kern w:val="0"/>
                <w:szCs w:val="21"/>
              </w:rPr>
            </w:pPr>
            <w:r>
              <w:rPr>
                <w:color w:val="000000"/>
                <w:kern w:val="0"/>
                <w:szCs w:val="21"/>
              </w:rPr>
              <w:t>0.71</w:t>
            </w:r>
          </w:p>
        </w:tc>
        <w:tc>
          <w:tcPr>
            <w:tcW w:w="846" w:type="dxa"/>
            <w:vAlign w:val="center"/>
          </w:tcPr>
          <w:p>
            <w:pPr>
              <w:widowControl/>
              <w:jc w:val="center"/>
              <w:rPr>
                <w:color w:val="000000"/>
                <w:kern w:val="0"/>
                <w:szCs w:val="21"/>
              </w:rPr>
            </w:pPr>
            <w:r>
              <w:rPr>
                <w:color w:val="000000"/>
                <w:kern w:val="0"/>
                <w:szCs w:val="21"/>
              </w:rPr>
              <w:t>50.0</w:t>
            </w:r>
          </w:p>
        </w:tc>
        <w:tc>
          <w:tcPr>
            <w:tcW w:w="636" w:type="dxa"/>
            <w:vAlign w:val="center"/>
          </w:tcPr>
          <w:p>
            <w:pPr>
              <w:widowControl/>
              <w:jc w:val="center"/>
              <w:rPr>
                <w:color w:val="000000"/>
                <w:kern w:val="0"/>
                <w:szCs w:val="21"/>
              </w:rPr>
            </w:pPr>
            <w:r>
              <w:rPr>
                <w:color w:val="000000"/>
                <w:kern w:val="0"/>
                <w:szCs w:val="21"/>
              </w:rPr>
              <w:t>50.0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4.14</w:t>
            </w:r>
          </w:p>
        </w:tc>
        <w:tc>
          <w:tcPr>
            <w:tcW w:w="846" w:type="dxa"/>
            <w:shd w:val="clear" w:color="auto" w:fill="auto"/>
            <w:vAlign w:val="center"/>
          </w:tcPr>
          <w:p>
            <w:pPr>
              <w:widowControl/>
              <w:jc w:val="center"/>
              <w:rPr>
                <w:color w:val="000000"/>
                <w:kern w:val="0"/>
                <w:szCs w:val="21"/>
              </w:rPr>
            </w:pPr>
            <w:r>
              <w:rPr>
                <w:color w:val="000000"/>
                <w:kern w:val="0"/>
                <w:szCs w:val="21"/>
              </w:rPr>
              <w:t>0.76</w:t>
            </w:r>
          </w:p>
        </w:tc>
        <w:tc>
          <w:tcPr>
            <w:tcW w:w="846" w:type="dxa"/>
            <w:vAlign w:val="center"/>
          </w:tcPr>
          <w:p>
            <w:pPr>
              <w:widowControl/>
              <w:jc w:val="center"/>
              <w:rPr>
                <w:color w:val="000000"/>
                <w:kern w:val="0"/>
                <w:szCs w:val="21"/>
              </w:rPr>
            </w:pPr>
            <w:r>
              <w:rPr>
                <w:color w:val="000000"/>
                <w:kern w:val="0"/>
                <w:szCs w:val="21"/>
              </w:rPr>
              <w:t>35.7</w:t>
            </w:r>
          </w:p>
        </w:tc>
        <w:tc>
          <w:tcPr>
            <w:tcW w:w="636" w:type="dxa"/>
            <w:vAlign w:val="center"/>
          </w:tcPr>
          <w:p>
            <w:pPr>
              <w:widowControl/>
              <w:jc w:val="center"/>
              <w:rPr>
                <w:color w:val="000000"/>
                <w:kern w:val="0"/>
                <w:szCs w:val="21"/>
              </w:rPr>
            </w:pPr>
            <w:r>
              <w:rPr>
                <w:color w:val="000000"/>
                <w:kern w:val="0"/>
                <w:szCs w:val="21"/>
              </w:rPr>
              <w:t>42.9</w:t>
            </w:r>
          </w:p>
        </w:tc>
        <w:tc>
          <w:tcPr>
            <w:tcW w:w="846" w:type="dxa"/>
            <w:vAlign w:val="center"/>
          </w:tcPr>
          <w:p>
            <w:pPr>
              <w:widowControl/>
              <w:jc w:val="center"/>
              <w:rPr>
                <w:color w:val="000000"/>
                <w:kern w:val="0"/>
                <w:szCs w:val="21"/>
              </w:rPr>
            </w:pPr>
            <w:r>
              <w:rPr>
                <w:color w:val="000000"/>
                <w:kern w:val="0"/>
                <w:szCs w:val="21"/>
              </w:rPr>
              <w:t>21.4</w:t>
            </w:r>
          </w:p>
        </w:tc>
        <w:tc>
          <w:tcPr>
            <w:tcW w:w="1056" w:type="dxa"/>
            <w:shd w:val="clear" w:color="auto" w:fill="auto"/>
            <w:vAlign w:val="center"/>
          </w:tcPr>
          <w:p>
            <w:pPr>
              <w:widowControl/>
              <w:jc w:val="center"/>
              <w:rPr>
                <w:color w:val="000000"/>
                <w:kern w:val="0"/>
                <w:szCs w:val="21"/>
              </w:rPr>
            </w:pPr>
          </w:p>
        </w:tc>
      </w:tr>
    </w:tbl>
    <w:p>
      <w:r>
        <w:rPr>
          <w:rFonts w:hint="eastAsia"/>
          <w:sz w:val="20"/>
          <w:szCs w:val="20"/>
        </w:rPr>
        <w:t>注：得分5=很相符，4=相符，3=不好说，2=不相符，1=很不相符</w:t>
      </w:r>
    </w:p>
    <w:p>
      <w:pPr>
        <w:pStyle w:val="37"/>
        <w:ind w:firstLine="480"/>
      </w:pPr>
    </w:p>
    <w:p>
      <w:pPr>
        <w:pStyle w:val="44"/>
        <w:spacing w:before="156"/>
      </w:pPr>
      <w:bookmarkStart w:id="218" w:name="_Toc470167431"/>
      <w:r>
        <w:rPr>
          <w:rFonts w:hint="eastAsia"/>
        </w:rPr>
        <w:t>（三）研究生求职过程</w:t>
      </w:r>
      <w:bookmarkEnd w:id="218"/>
    </w:p>
    <w:p>
      <w:pPr>
        <w:pStyle w:val="67"/>
      </w:pPr>
      <w:bookmarkStart w:id="219" w:name="_Toc470167432"/>
      <w:r>
        <w:rPr>
          <w:rFonts w:hint="eastAsia"/>
        </w:rPr>
        <w:t>1、求职积极程度</w:t>
      </w:r>
      <w:bookmarkEnd w:id="219"/>
    </w:p>
    <w:p>
      <w:pPr>
        <w:pStyle w:val="70"/>
      </w:pPr>
      <w:bookmarkStart w:id="220" w:name="PO_3431"/>
      <w:bookmarkEnd w:id="220"/>
      <w:r>
        <w:rPr>
          <w:rFonts w:hint="eastAsia"/>
        </w:rPr>
        <w:t>（1）总体情况</w:t>
      </w:r>
    </w:p>
    <w:p>
      <w:pPr>
        <w:pStyle w:val="37"/>
        <w:ind w:firstLine="480"/>
      </w:pPr>
      <w:r>
        <w:rPr>
          <w:rFonts w:hint="eastAsia"/>
        </w:rPr>
        <w:t>对于求职过程中自己的积极程度评价，85.7%的研究生表示“很积极”或“积极”，10.7%认为“不好说”，3.6%则表示“不积极”。</w:t>
      </w:r>
    </w:p>
    <w:p>
      <w:pPr>
        <w:jc w:val="center"/>
      </w:pPr>
      <w:r>
        <w:rPr>
          <w:rFonts w:hint="eastAsia"/>
        </w:rPr>
        <w:drawing>
          <wp:inline distT="0" distB="0" distL="0" distR="0">
            <wp:extent cx="6076950" cy="3077210"/>
            <wp:effectExtent l="19050" t="0" r="19050" b="8890"/>
            <wp:docPr id="3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59"/>
        <w:spacing w:before="156" w:after="312"/>
      </w:pPr>
      <w:r>
        <w:rPr>
          <w:rFonts w:hint="eastAsia"/>
        </w:rPr>
        <w:t>研究生求职积极程度</w:t>
      </w:r>
    </w:p>
    <w:p>
      <w:pPr>
        <w:pStyle w:val="70"/>
      </w:pPr>
      <w:r>
        <w:rPr>
          <w:rFonts w:hint="eastAsia"/>
        </w:rPr>
        <w:t>（2）不同专业研究生求职积极程度</w:t>
      </w:r>
    </w:p>
    <w:p>
      <w:pPr>
        <w:pStyle w:val="37"/>
        <w:ind w:firstLine="480"/>
      </w:pPr>
      <w:r>
        <w:rPr>
          <w:rFonts w:hint="eastAsia"/>
        </w:rPr>
        <w:t>就专业而言，方差检验显示，不同专业的研究生对求职积极程度的评价不存在显著性差异（F=0.63，p&gt;0.05）。</w:t>
      </w:r>
    </w:p>
    <w:p>
      <w:pPr>
        <w:jc w:val="center"/>
      </w:pPr>
      <w:r>
        <w:rPr>
          <w:rFonts w:hint="eastAsia"/>
        </w:rPr>
        <w:drawing>
          <wp:inline distT="0" distB="0" distL="0" distR="0">
            <wp:extent cx="6124575" cy="3676650"/>
            <wp:effectExtent l="0" t="0" r="0" b="0"/>
            <wp:docPr id="3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59"/>
        <w:spacing w:before="156" w:after="312"/>
      </w:pPr>
      <w:r>
        <w:rPr>
          <w:rFonts w:hint="eastAsia"/>
        </w:rPr>
        <w:t>不同专业研究生求职积极程度</w:t>
      </w:r>
    </w:p>
    <w:p>
      <w:pPr>
        <w:pStyle w:val="53"/>
        <w:spacing w:before="312" w:after="156"/>
      </w:pPr>
      <w:r>
        <w:rPr>
          <w:rFonts w:hint="eastAsia"/>
        </w:rPr>
        <w:t>研究生求职积极程度</w:t>
      </w:r>
    </w:p>
    <w:tbl>
      <w:tblPr>
        <w:tblStyle w:val="33"/>
        <w:tblW w:w="8253"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9"/>
        <w:gridCol w:w="636"/>
        <w:gridCol w:w="846"/>
        <w:gridCol w:w="846"/>
        <w:gridCol w:w="636"/>
        <w:gridCol w:w="846"/>
        <w:gridCol w:w="846"/>
        <w:gridCol w:w="105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restart"/>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restart"/>
            <w:shd w:val="clear" w:color="auto" w:fill="auto"/>
            <w:vAlign w:val="center"/>
          </w:tcPr>
          <w:p>
            <w:pPr>
              <w:widowControl/>
              <w:jc w:val="center"/>
              <w:rPr>
                <w:color w:val="000000"/>
                <w:kern w:val="0"/>
                <w:szCs w:val="21"/>
              </w:rPr>
            </w:pPr>
            <w:r>
              <w:rPr>
                <w:color w:val="000000"/>
                <w:kern w:val="0"/>
                <w:szCs w:val="21"/>
              </w:rPr>
              <w:t>N</w:t>
            </w:r>
          </w:p>
        </w:tc>
        <w:tc>
          <w:tcPr>
            <w:tcW w:w="63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3174" w:type="dxa"/>
            <w:gridSpan w:val="4"/>
          </w:tcPr>
          <w:p>
            <w:pPr>
              <w:widowControl/>
              <w:jc w:val="center"/>
              <w:rPr>
                <w:rFonts w:ascii="宋体" w:hAnsi="宋体" w:cs="宋体"/>
                <w:color w:val="000000"/>
                <w:kern w:val="0"/>
                <w:szCs w:val="21"/>
              </w:rPr>
            </w:pPr>
            <w:r>
              <w:rPr>
                <w:rFonts w:ascii="宋体" w:hAnsi="宋体" w:cs="宋体"/>
                <w:color w:val="000000"/>
                <w:kern w:val="0"/>
                <w:szCs w:val="21"/>
              </w:rPr>
              <w:t>%</w:t>
            </w:r>
          </w:p>
        </w:tc>
        <w:tc>
          <w:tcPr>
            <w:tcW w:w="1056" w:type="dxa"/>
            <w:shd w:val="clear" w:color="auto" w:fill="auto"/>
            <w:vAlign w:val="center"/>
          </w:tcPr>
          <w:p>
            <w:pPr>
              <w:widowControl/>
              <w:jc w:val="center"/>
              <w:rPr>
                <w:rFonts w:ascii="宋体" w:hAnsi="宋体" w:cs="宋体"/>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636" w:type="dxa"/>
            <w:vMerge w:val="continue"/>
            <w:tcBorders>
              <w:right w:val="dotted" w:color="00B050" w:sz="8" w:space="0"/>
            </w:tcBorders>
            <w:vAlign w:val="center"/>
          </w:tcPr>
          <w:p>
            <w:pPr>
              <w:widowControl/>
              <w:jc w:val="center"/>
              <w:rPr>
                <w:rFonts w:ascii="宋体" w:hAnsi="宋体" w:cs="宋体"/>
                <w:color w:val="000000"/>
                <w:kern w:val="0"/>
                <w:szCs w:val="21"/>
              </w:rPr>
            </w:pPr>
          </w:p>
        </w:tc>
        <w:tc>
          <w:tcPr>
            <w:tcW w:w="1476" w:type="dxa"/>
            <w:vMerge w:val="continue"/>
            <w:tcBorders>
              <w:left w:val="dotted" w:color="00B050" w:sz="8" w:space="0"/>
            </w:tcBorders>
            <w:shd w:val="clear" w:color="auto" w:fill="auto"/>
            <w:vAlign w:val="center"/>
          </w:tcPr>
          <w:p>
            <w:pPr>
              <w:widowControl/>
              <w:jc w:val="center"/>
              <w:rPr>
                <w:rFonts w:ascii="宋体" w:hAnsi="宋体" w:cs="宋体"/>
                <w:color w:val="000000"/>
                <w:kern w:val="0"/>
                <w:szCs w:val="21"/>
              </w:rPr>
            </w:pPr>
          </w:p>
        </w:tc>
        <w:tc>
          <w:tcPr>
            <w:tcW w:w="429" w:type="dxa"/>
            <w:vMerge w:val="continue"/>
            <w:shd w:val="clear" w:color="auto" w:fill="auto"/>
            <w:vAlign w:val="center"/>
          </w:tcPr>
          <w:p>
            <w:pPr>
              <w:widowControl/>
              <w:jc w:val="center"/>
              <w:rPr>
                <w:color w:val="000000"/>
                <w:kern w:val="0"/>
                <w:szCs w:val="21"/>
              </w:rPr>
            </w:pPr>
          </w:p>
        </w:tc>
        <w:tc>
          <w:tcPr>
            <w:tcW w:w="636" w:type="dxa"/>
            <w:vMerge w:val="continue"/>
            <w:shd w:val="clear" w:color="auto" w:fill="auto"/>
            <w:vAlign w:val="center"/>
          </w:tcPr>
          <w:p>
            <w:pPr>
              <w:widowControl/>
              <w:jc w:val="center"/>
              <w:rPr>
                <w:rFonts w:ascii="宋体" w:hAnsi="宋体" w:cs="宋体"/>
                <w:color w:val="000000"/>
                <w:kern w:val="0"/>
                <w:szCs w:val="21"/>
              </w:rPr>
            </w:pPr>
          </w:p>
        </w:tc>
        <w:tc>
          <w:tcPr>
            <w:tcW w:w="846" w:type="dxa"/>
            <w:vMerge w:val="continue"/>
            <w:shd w:val="clear" w:color="auto" w:fill="auto"/>
            <w:vAlign w:val="center"/>
          </w:tcPr>
          <w:p>
            <w:pPr>
              <w:widowControl/>
              <w:jc w:val="center"/>
              <w:rPr>
                <w:rFonts w:ascii="宋体" w:hAnsi="宋体" w:cs="宋体"/>
                <w:color w:val="000000"/>
                <w:kern w:val="0"/>
                <w:szCs w:val="21"/>
              </w:rPr>
            </w:pP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很积极</w:t>
            </w:r>
          </w:p>
        </w:tc>
        <w:tc>
          <w:tcPr>
            <w:tcW w:w="63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积极</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不好说</w:t>
            </w:r>
          </w:p>
        </w:tc>
        <w:tc>
          <w:tcPr>
            <w:tcW w:w="84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不积极</w:t>
            </w:r>
          </w:p>
        </w:tc>
        <w:tc>
          <w:tcPr>
            <w:tcW w:w="1056"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方差检验</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专业</w:t>
            </w: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shd w:val="clear" w:color="auto" w:fill="auto"/>
            <w:vAlign w:val="center"/>
          </w:tcPr>
          <w:p>
            <w:pPr>
              <w:widowControl/>
              <w:jc w:val="center"/>
              <w:rPr>
                <w:color w:val="000000"/>
                <w:kern w:val="0"/>
                <w:szCs w:val="21"/>
              </w:rPr>
            </w:pPr>
            <w:r>
              <w:rPr>
                <w:color w:val="000000"/>
                <w:kern w:val="0"/>
                <w:szCs w:val="21"/>
              </w:rPr>
              <w:t>11</w:t>
            </w:r>
          </w:p>
        </w:tc>
        <w:tc>
          <w:tcPr>
            <w:tcW w:w="636" w:type="dxa"/>
            <w:shd w:val="clear" w:color="auto" w:fill="auto"/>
            <w:vAlign w:val="center"/>
          </w:tcPr>
          <w:p>
            <w:pPr>
              <w:widowControl/>
              <w:jc w:val="center"/>
              <w:rPr>
                <w:color w:val="000000"/>
                <w:kern w:val="0"/>
                <w:szCs w:val="21"/>
              </w:rPr>
            </w:pPr>
            <w:r>
              <w:rPr>
                <w:color w:val="000000"/>
                <w:kern w:val="0"/>
                <w:szCs w:val="21"/>
              </w:rPr>
              <w:t>4.27</w:t>
            </w:r>
          </w:p>
        </w:tc>
        <w:tc>
          <w:tcPr>
            <w:tcW w:w="846" w:type="dxa"/>
            <w:shd w:val="clear" w:color="auto" w:fill="auto"/>
            <w:vAlign w:val="center"/>
          </w:tcPr>
          <w:p>
            <w:pPr>
              <w:widowControl/>
              <w:jc w:val="center"/>
              <w:rPr>
                <w:color w:val="000000"/>
                <w:kern w:val="0"/>
                <w:szCs w:val="21"/>
              </w:rPr>
            </w:pPr>
            <w:r>
              <w:rPr>
                <w:color w:val="000000"/>
                <w:kern w:val="0"/>
                <w:szCs w:val="21"/>
              </w:rPr>
              <w:t>1.01</w:t>
            </w:r>
          </w:p>
        </w:tc>
        <w:tc>
          <w:tcPr>
            <w:tcW w:w="846" w:type="dxa"/>
            <w:vAlign w:val="center"/>
          </w:tcPr>
          <w:p>
            <w:pPr>
              <w:widowControl/>
              <w:jc w:val="center"/>
              <w:rPr>
                <w:color w:val="000000"/>
                <w:kern w:val="0"/>
                <w:szCs w:val="21"/>
              </w:rPr>
            </w:pPr>
            <w:r>
              <w:rPr>
                <w:color w:val="000000"/>
                <w:kern w:val="0"/>
                <w:szCs w:val="21"/>
              </w:rPr>
              <w:t>54.5</w:t>
            </w:r>
          </w:p>
        </w:tc>
        <w:tc>
          <w:tcPr>
            <w:tcW w:w="636" w:type="dxa"/>
            <w:vAlign w:val="center"/>
          </w:tcPr>
          <w:p>
            <w:pPr>
              <w:widowControl/>
              <w:jc w:val="center"/>
              <w:rPr>
                <w:color w:val="000000"/>
                <w:kern w:val="0"/>
                <w:szCs w:val="21"/>
              </w:rPr>
            </w:pPr>
            <w:r>
              <w:rPr>
                <w:color w:val="000000"/>
                <w:kern w:val="0"/>
                <w:szCs w:val="21"/>
              </w:rPr>
              <w:t>27.3</w:t>
            </w:r>
          </w:p>
        </w:tc>
        <w:tc>
          <w:tcPr>
            <w:tcW w:w="846" w:type="dxa"/>
            <w:vAlign w:val="center"/>
          </w:tcPr>
          <w:p>
            <w:pPr>
              <w:widowControl/>
              <w:jc w:val="center"/>
              <w:rPr>
                <w:color w:val="000000"/>
                <w:kern w:val="0"/>
                <w:szCs w:val="21"/>
              </w:rPr>
            </w:pPr>
            <w:r>
              <w:rPr>
                <w:color w:val="000000"/>
                <w:kern w:val="0"/>
                <w:szCs w:val="21"/>
              </w:rPr>
              <w:t>9.1</w:t>
            </w:r>
          </w:p>
        </w:tc>
        <w:tc>
          <w:tcPr>
            <w:tcW w:w="846" w:type="dxa"/>
            <w:vAlign w:val="center"/>
          </w:tcPr>
          <w:p>
            <w:pPr>
              <w:widowControl/>
              <w:jc w:val="center"/>
              <w:rPr>
                <w:color w:val="000000"/>
                <w:kern w:val="0"/>
                <w:szCs w:val="21"/>
              </w:rPr>
            </w:pPr>
            <w:r>
              <w:rPr>
                <w:color w:val="000000"/>
                <w:kern w:val="0"/>
                <w:szCs w:val="21"/>
              </w:rPr>
              <w:t>9.1</w:t>
            </w:r>
          </w:p>
        </w:tc>
        <w:tc>
          <w:tcPr>
            <w:tcW w:w="1056" w:type="dxa"/>
            <w:vMerge w:val="restart"/>
            <w:shd w:val="clear" w:color="auto" w:fill="auto"/>
            <w:vAlign w:val="center"/>
          </w:tcPr>
          <w:p>
            <w:pPr>
              <w:jc w:val="center"/>
              <w:rPr>
                <w:color w:val="000000"/>
                <w:kern w:val="0"/>
                <w:szCs w:val="21"/>
              </w:rPr>
            </w:pPr>
            <w:r>
              <w:rPr>
                <w:color w:val="000000"/>
                <w:kern w:val="0"/>
                <w:szCs w:val="21"/>
              </w:rPr>
              <w:t>F=0.63</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shd w:val="clear" w:color="auto" w:fill="auto"/>
            <w:vAlign w:val="center"/>
          </w:tcPr>
          <w:p>
            <w:pPr>
              <w:widowControl/>
              <w:jc w:val="center"/>
              <w:rPr>
                <w:color w:val="000000"/>
                <w:kern w:val="0"/>
                <w:szCs w:val="21"/>
              </w:rPr>
            </w:pPr>
            <w:r>
              <w:rPr>
                <w:color w:val="000000"/>
                <w:kern w:val="0"/>
                <w:szCs w:val="21"/>
              </w:rPr>
              <w:t>15</w:t>
            </w:r>
          </w:p>
        </w:tc>
        <w:tc>
          <w:tcPr>
            <w:tcW w:w="636" w:type="dxa"/>
            <w:shd w:val="clear" w:color="auto" w:fill="auto"/>
            <w:vAlign w:val="center"/>
          </w:tcPr>
          <w:p>
            <w:pPr>
              <w:widowControl/>
              <w:jc w:val="center"/>
              <w:rPr>
                <w:color w:val="000000"/>
                <w:kern w:val="0"/>
                <w:szCs w:val="21"/>
              </w:rPr>
            </w:pPr>
            <w:r>
              <w:rPr>
                <w:color w:val="000000"/>
                <w:kern w:val="0"/>
                <w:szCs w:val="21"/>
              </w:rPr>
              <w:t>4.40</w:t>
            </w:r>
          </w:p>
        </w:tc>
        <w:tc>
          <w:tcPr>
            <w:tcW w:w="846" w:type="dxa"/>
            <w:shd w:val="clear" w:color="auto" w:fill="auto"/>
            <w:vAlign w:val="center"/>
          </w:tcPr>
          <w:p>
            <w:pPr>
              <w:widowControl/>
              <w:jc w:val="center"/>
              <w:rPr>
                <w:color w:val="000000"/>
                <w:kern w:val="0"/>
                <w:szCs w:val="21"/>
              </w:rPr>
            </w:pPr>
            <w:r>
              <w:rPr>
                <w:color w:val="000000"/>
                <w:kern w:val="0"/>
                <w:szCs w:val="21"/>
              </w:rPr>
              <w:t>0.74</w:t>
            </w:r>
          </w:p>
        </w:tc>
        <w:tc>
          <w:tcPr>
            <w:tcW w:w="846" w:type="dxa"/>
            <w:vAlign w:val="center"/>
          </w:tcPr>
          <w:p>
            <w:pPr>
              <w:widowControl/>
              <w:jc w:val="center"/>
              <w:rPr>
                <w:color w:val="000000"/>
                <w:kern w:val="0"/>
                <w:szCs w:val="21"/>
              </w:rPr>
            </w:pPr>
            <w:r>
              <w:rPr>
                <w:color w:val="000000"/>
                <w:kern w:val="0"/>
                <w:szCs w:val="21"/>
              </w:rPr>
              <w:t>53.3</w:t>
            </w:r>
          </w:p>
        </w:tc>
        <w:tc>
          <w:tcPr>
            <w:tcW w:w="636" w:type="dxa"/>
            <w:vAlign w:val="center"/>
          </w:tcPr>
          <w:p>
            <w:pPr>
              <w:widowControl/>
              <w:jc w:val="center"/>
              <w:rPr>
                <w:color w:val="000000"/>
                <w:kern w:val="0"/>
                <w:szCs w:val="21"/>
              </w:rPr>
            </w:pPr>
            <w:r>
              <w:rPr>
                <w:color w:val="000000"/>
                <w:kern w:val="0"/>
                <w:szCs w:val="21"/>
              </w:rPr>
              <w:t>33.3</w:t>
            </w:r>
          </w:p>
        </w:tc>
        <w:tc>
          <w:tcPr>
            <w:tcW w:w="846" w:type="dxa"/>
            <w:vAlign w:val="center"/>
          </w:tcPr>
          <w:p>
            <w:pPr>
              <w:widowControl/>
              <w:jc w:val="center"/>
              <w:rPr>
                <w:color w:val="000000"/>
                <w:kern w:val="0"/>
                <w:szCs w:val="21"/>
              </w:rPr>
            </w:pPr>
            <w:r>
              <w:rPr>
                <w:color w:val="000000"/>
                <w:kern w:val="0"/>
                <w:szCs w:val="21"/>
              </w:rPr>
              <w:t>13.3</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vAlign w:val="center"/>
          </w:tcPr>
          <w:p>
            <w:pPr>
              <w:widowControl/>
              <w:jc w:val="center"/>
              <w:rPr>
                <w:rFonts w:ascii="宋体" w:hAnsi="宋体" w:cs="宋体"/>
                <w:color w:val="000000"/>
                <w:kern w:val="0"/>
                <w:szCs w:val="21"/>
              </w:rPr>
            </w:pPr>
          </w:p>
        </w:tc>
        <w:tc>
          <w:tcPr>
            <w:tcW w:w="1476" w:type="dxa"/>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shd w:val="clear" w:color="auto" w:fill="auto"/>
            <w:vAlign w:val="center"/>
          </w:tcPr>
          <w:p>
            <w:pPr>
              <w:widowControl/>
              <w:jc w:val="center"/>
              <w:rPr>
                <w:color w:val="000000"/>
                <w:kern w:val="0"/>
                <w:szCs w:val="21"/>
              </w:rPr>
            </w:pPr>
            <w:r>
              <w:rPr>
                <w:color w:val="000000"/>
                <w:kern w:val="0"/>
                <w:szCs w:val="21"/>
              </w:rPr>
              <w:t>2</w:t>
            </w:r>
          </w:p>
        </w:tc>
        <w:tc>
          <w:tcPr>
            <w:tcW w:w="636" w:type="dxa"/>
            <w:shd w:val="clear" w:color="auto" w:fill="auto"/>
            <w:vAlign w:val="center"/>
          </w:tcPr>
          <w:p>
            <w:pPr>
              <w:widowControl/>
              <w:jc w:val="center"/>
              <w:rPr>
                <w:color w:val="000000"/>
                <w:kern w:val="0"/>
                <w:szCs w:val="21"/>
              </w:rPr>
            </w:pPr>
            <w:r>
              <w:rPr>
                <w:color w:val="000000"/>
                <w:kern w:val="0"/>
                <w:szCs w:val="21"/>
              </w:rPr>
              <w:t>5.00</w:t>
            </w:r>
          </w:p>
        </w:tc>
        <w:tc>
          <w:tcPr>
            <w:tcW w:w="846" w:type="dxa"/>
            <w:shd w:val="clear" w:color="auto" w:fill="auto"/>
            <w:vAlign w:val="center"/>
          </w:tcPr>
          <w:p>
            <w:pPr>
              <w:widowControl/>
              <w:jc w:val="center"/>
              <w:rPr>
                <w:color w:val="000000"/>
                <w:kern w:val="0"/>
                <w:szCs w:val="21"/>
              </w:rPr>
            </w:pPr>
            <w:r>
              <w:rPr>
                <w:color w:val="000000"/>
                <w:kern w:val="0"/>
                <w:szCs w:val="21"/>
              </w:rPr>
              <w:t>0.00</w:t>
            </w:r>
          </w:p>
        </w:tc>
        <w:tc>
          <w:tcPr>
            <w:tcW w:w="846" w:type="dxa"/>
            <w:vAlign w:val="center"/>
          </w:tcPr>
          <w:p>
            <w:pPr>
              <w:widowControl/>
              <w:jc w:val="center"/>
              <w:rPr>
                <w:color w:val="000000"/>
                <w:kern w:val="0"/>
                <w:szCs w:val="21"/>
              </w:rPr>
            </w:pPr>
            <w:r>
              <w:rPr>
                <w:color w:val="000000"/>
                <w:kern w:val="0"/>
                <w:szCs w:val="21"/>
              </w:rPr>
              <w:t>100.0</w:t>
            </w:r>
          </w:p>
        </w:tc>
        <w:tc>
          <w:tcPr>
            <w:tcW w:w="63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846" w:type="dxa"/>
            <w:vAlign w:val="center"/>
          </w:tcPr>
          <w:p>
            <w:pPr>
              <w:widowControl/>
              <w:jc w:val="center"/>
              <w:rPr>
                <w:color w:val="000000"/>
                <w:kern w:val="0"/>
                <w:szCs w:val="21"/>
              </w:rPr>
            </w:pPr>
            <w:r>
              <w:rPr>
                <w:color w:val="000000"/>
                <w:kern w:val="0"/>
                <w:szCs w:val="21"/>
              </w:rPr>
              <w:t>0.0</w:t>
            </w:r>
          </w:p>
        </w:tc>
        <w:tc>
          <w:tcPr>
            <w:tcW w:w="1056" w:type="dxa"/>
            <w:vMerge w:val="continue"/>
            <w:shd w:val="clear" w:color="auto" w:fill="auto"/>
            <w:vAlign w:val="center"/>
          </w:tcPr>
          <w:p>
            <w:pPr>
              <w:widowControl/>
              <w:jc w:val="center"/>
              <w:rPr>
                <w:color w:val="000000"/>
                <w:kern w:val="0"/>
                <w:szCs w:val="21"/>
              </w:rPr>
            </w:pP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300" w:hRule="atLeast"/>
          <w:jc w:val="center"/>
        </w:trPr>
        <w:tc>
          <w:tcPr>
            <w:tcW w:w="2112" w:type="dxa"/>
            <w:gridSpan w:val="2"/>
            <w:vAlign w:val="center"/>
          </w:tcPr>
          <w:p>
            <w:pPr>
              <w:widowControl/>
              <w:rPr>
                <w:rFonts w:ascii="宋体" w:hAnsi="宋体" w:cs="宋体"/>
                <w:color w:val="000000"/>
                <w:kern w:val="0"/>
                <w:szCs w:val="21"/>
              </w:rPr>
            </w:pPr>
            <w:r>
              <w:rPr>
                <w:rFonts w:hint="eastAsia" w:ascii="宋体" w:hAnsi="宋体" w:cs="宋体"/>
                <w:color w:val="000000"/>
                <w:kern w:val="0"/>
                <w:szCs w:val="21"/>
              </w:rPr>
              <w:t>总体</w:t>
            </w:r>
          </w:p>
        </w:tc>
        <w:tc>
          <w:tcPr>
            <w:tcW w:w="429" w:type="dxa"/>
            <w:shd w:val="clear" w:color="auto" w:fill="auto"/>
            <w:vAlign w:val="center"/>
          </w:tcPr>
          <w:p>
            <w:pPr>
              <w:widowControl/>
              <w:jc w:val="center"/>
              <w:rPr>
                <w:color w:val="000000"/>
                <w:kern w:val="0"/>
                <w:szCs w:val="21"/>
              </w:rPr>
            </w:pPr>
            <w:r>
              <w:rPr>
                <w:color w:val="000000"/>
                <w:kern w:val="0"/>
                <w:szCs w:val="21"/>
              </w:rPr>
              <w:t>28</w:t>
            </w:r>
          </w:p>
        </w:tc>
        <w:tc>
          <w:tcPr>
            <w:tcW w:w="636" w:type="dxa"/>
            <w:shd w:val="clear" w:color="auto" w:fill="auto"/>
            <w:vAlign w:val="center"/>
          </w:tcPr>
          <w:p>
            <w:pPr>
              <w:widowControl/>
              <w:jc w:val="center"/>
              <w:rPr>
                <w:color w:val="000000"/>
                <w:kern w:val="0"/>
                <w:szCs w:val="21"/>
              </w:rPr>
            </w:pPr>
            <w:r>
              <w:rPr>
                <w:color w:val="000000"/>
                <w:kern w:val="0"/>
                <w:szCs w:val="21"/>
              </w:rPr>
              <w:t>4.39</w:t>
            </w:r>
          </w:p>
        </w:tc>
        <w:tc>
          <w:tcPr>
            <w:tcW w:w="846" w:type="dxa"/>
            <w:shd w:val="clear" w:color="auto" w:fill="auto"/>
            <w:vAlign w:val="center"/>
          </w:tcPr>
          <w:p>
            <w:pPr>
              <w:widowControl/>
              <w:jc w:val="center"/>
              <w:rPr>
                <w:color w:val="000000"/>
                <w:kern w:val="0"/>
                <w:szCs w:val="21"/>
              </w:rPr>
            </w:pPr>
            <w:r>
              <w:rPr>
                <w:color w:val="000000"/>
                <w:kern w:val="0"/>
                <w:szCs w:val="21"/>
              </w:rPr>
              <w:t>0.83</w:t>
            </w:r>
          </w:p>
        </w:tc>
        <w:tc>
          <w:tcPr>
            <w:tcW w:w="846" w:type="dxa"/>
            <w:vAlign w:val="center"/>
          </w:tcPr>
          <w:p>
            <w:pPr>
              <w:widowControl/>
              <w:jc w:val="center"/>
              <w:rPr>
                <w:color w:val="000000"/>
                <w:kern w:val="0"/>
                <w:szCs w:val="21"/>
              </w:rPr>
            </w:pPr>
            <w:r>
              <w:rPr>
                <w:color w:val="000000"/>
                <w:kern w:val="0"/>
                <w:szCs w:val="21"/>
              </w:rPr>
              <w:t>57.1</w:t>
            </w:r>
          </w:p>
        </w:tc>
        <w:tc>
          <w:tcPr>
            <w:tcW w:w="636" w:type="dxa"/>
            <w:vAlign w:val="center"/>
          </w:tcPr>
          <w:p>
            <w:pPr>
              <w:widowControl/>
              <w:jc w:val="center"/>
              <w:rPr>
                <w:color w:val="000000"/>
                <w:kern w:val="0"/>
                <w:szCs w:val="21"/>
              </w:rPr>
            </w:pPr>
            <w:r>
              <w:rPr>
                <w:color w:val="000000"/>
                <w:kern w:val="0"/>
                <w:szCs w:val="21"/>
              </w:rPr>
              <w:t>28.6</w:t>
            </w:r>
          </w:p>
        </w:tc>
        <w:tc>
          <w:tcPr>
            <w:tcW w:w="846" w:type="dxa"/>
            <w:vAlign w:val="center"/>
          </w:tcPr>
          <w:p>
            <w:pPr>
              <w:widowControl/>
              <w:jc w:val="center"/>
              <w:rPr>
                <w:color w:val="000000"/>
                <w:kern w:val="0"/>
                <w:szCs w:val="21"/>
              </w:rPr>
            </w:pPr>
            <w:r>
              <w:rPr>
                <w:color w:val="000000"/>
                <w:kern w:val="0"/>
                <w:szCs w:val="21"/>
              </w:rPr>
              <w:t>10.7</w:t>
            </w:r>
          </w:p>
        </w:tc>
        <w:tc>
          <w:tcPr>
            <w:tcW w:w="846" w:type="dxa"/>
            <w:vAlign w:val="center"/>
          </w:tcPr>
          <w:p>
            <w:pPr>
              <w:widowControl/>
              <w:jc w:val="center"/>
              <w:rPr>
                <w:color w:val="000000"/>
                <w:kern w:val="0"/>
                <w:szCs w:val="21"/>
              </w:rPr>
            </w:pPr>
            <w:r>
              <w:rPr>
                <w:color w:val="000000"/>
                <w:kern w:val="0"/>
                <w:szCs w:val="21"/>
              </w:rPr>
              <w:t>3.6</w:t>
            </w:r>
          </w:p>
        </w:tc>
        <w:tc>
          <w:tcPr>
            <w:tcW w:w="1056" w:type="dxa"/>
            <w:shd w:val="clear" w:color="auto" w:fill="auto"/>
            <w:vAlign w:val="center"/>
          </w:tcPr>
          <w:p>
            <w:pPr>
              <w:widowControl/>
              <w:jc w:val="center"/>
              <w:rPr>
                <w:color w:val="000000"/>
                <w:kern w:val="0"/>
                <w:szCs w:val="21"/>
              </w:rPr>
            </w:pPr>
          </w:p>
        </w:tc>
      </w:tr>
    </w:tbl>
    <w:p>
      <w:pPr>
        <w:pStyle w:val="37"/>
        <w:ind w:firstLine="400"/>
      </w:pPr>
      <w:r>
        <w:rPr>
          <w:rFonts w:hint="eastAsia"/>
          <w:sz w:val="20"/>
          <w:szCs w:val="20"/>
        </w:rPr>
        <w:t>注：得分5=很积极，4=积极，3=不好说，2=不积极，1=很不积极</w:t>
      </w:r>
    </w:p>
    <w:p>
      <w:pPr>
        <w:pStyle w:val="67"/>
      </w:pPr>
      <w:bookmarkStart w:id="221" w:name="_Toc470167433"/>
      <w:r>
        <w:rPr>
          <w:rFonts w:hint="eastAsia"/>
        </w:rPr>
        <w:t>2、简历投递、面试机会及工作机会</w:t>
      </w:r>
      <w:bookmarkEnd w:id="221"/>
    </w:p>
    <w:p>
      <w:pPr>
        <w:pStyle w:val="70"/>
      </w:pPr>
      <w:bookmarkStart w:id="222" w:name="PO_3432"/>
      <w:bookmarkEnd w:id="222"/>
      <w:r>
        <w:rPr>
          <w:rFonts w:hint="eastAsia"/>
        </w:rPr>
        <w:t>（1）总体情况</w:t>
      </w:r>
    </w:p>
    <w:p>
      <w:pPr>
        <w:pStyle w:val="37"/>
        <w:ind w:firstLine="480"/>
      </w:pPr>
      <w:r>
        <w:rPr>
          <w:rFonts w:hint="eastAsia"/>
        </w:rPr>
        <w:t>调查显示，研究生求职过程中平均投递简历7.32份，平均收到面试邀请4.37份，平均收到录取通知2.50份。</w:t>
      </w:r>
    </w:p>
    <w:p>
      <w:pPr>
        <w:jc w:val="center"/>
      </w:pPr>
      <w:r>
        <w:rPr>
          <w:rFonts w:hint="eastAsia"/>
        </w:rPr>
        <w:drawing>
          <wp:inline distT="0" distB="0" distL="0" distR="0">
            <wp:extent cx="6124575" cy="3077210"/>
            <wp:effectExtent l="19050" t="0" r="9525" b="8890"/>
            <wp:docPr id="3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59"/>
        <w:spacing w:before="156" w:after="312"/>
      </w:pPr>
      <w:r>
        <w:rPr>
          <w:rFonts w:hint="eastAsia"/>
        </w:rPr>
        <w:t>研究生投递简历数、面试邀请数、录用通知数</w:t>
      </w:r>
    </w:p>
    <w:p>
      <w:pPr>
        <w:pStyle w:val="53"/>
        <w:spacing w:before="312" w:after="156"/>
      </w:pPr>
      <w:r>
        <w:rPr>
          <w:rFonts w:hint="eastAsia"/>
        </w:rPr>
        <w:t>研究生投递简历数、面试邀请数、录用通知数</w:t>
      </w:r>
    </w:p>
    <w:tbl>
      <w:tblPr>
        <w:tblStyle w:val="33"/>
        <w:tblW w:w="6417"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097"/>
        <w:gridCol w:w="1080"/>
        <w:gridCol w:w="1080"/>
        <w:gridCol w:w="1080"/>
        <w:gridCol w:w="1080"/>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097" w:type="dxa"/>
            <w:shd w:val="clear" w:color="auto" w:fill="auto"/>
            <w:vAlign w:val="center"/>
          </w:tcPr>
          <w:p>
            <w:pPr>
              <w:pStyle w:val="52"/>
              <w:ind w:firstLine="480"/>
              <w:jc w:val="center"/>
              <w:rPr>
                <w:szCs w:val="20"/>
              </w:rPr>
            </w:pPr>
          </w:p>
        </w:tc>
        <w:tc>
          <w:tcPr>
            <w:tcW w:w="1080" w:type="dxa"/>
            <w:shd w:val="clear" w:color="auto" w:fill="auto"/>
            <w:vAlign w:val="center"/>
          </w:tcPr>
          <w:p>
            <w:pPr>
              <w:pStyle w:val="52"/>
              <w:jc w:val="center"/>
              <w:rPr>
                <w:szCs w:val="20"/>
              </w:rPr>
            </w:pPr>
            <w:r>
              <w:rPr>
                <w:rFonts w:hint="eastAsia"/>
              </w:rPr>
              <w:t>N</w:t>
            </w:r>
          </w:p>
        </w:tc>
        <w:tc>
          <w:tcPr>
            <w:tcW w:w="1080" w:type="dxa"/>
            <w:shd w:val="clear" w:color="auto" w:fill="auto"/>
            <w:vAlign w:val="center"/>
          </w:tcPr>
          <w:p>
            <w:pPr>
              <w:pStyle w:val="52"/>
              <w:jc w:val="center"/>
              <w:rPr>
                <w:szCs w:val="20"/>
              </w:rPr>
            </w:pPr>
            <w:r>
              <w:rPr>
                <w:rFonts w:hint="eastAsia"/>
              </w:rPr>
              <w:t>均值</w:t>
            </w:r>
          </w:p>
        </w:tc>
        <w:tc>
          <w:tcPr>
            <w:tcW w:w="1080" w:type="dxa"/>
            <w:shd w:val="clear" w:color="auto" w:fill="auto"/>
            <w:vAlign w:val="center"/>
          </w:tcPr>
          <w:p>
            <w:pPr>
              <w:pStyle w:val="52"/>
              <w:jc w:val="center"/>
              <w:rPr>
                <w:szCs w:val="20"/>
              </w:rPr>
            </w:pPr>
            <w:r>
              <w:rPr>
                <w:rFonts w:hint="eastAsia"/>
              </w:rPr>
              <w:t>标准差</w:t>
            </w:r>
          </w:p>
        </w:tc>
        <w:tc>
          <w:tcPr>
            <w:tcW w:w="1080" w:type="dxa"/>
            <w:shd w:val="clear" w:color="auto" w:fill="auto"/>
            <w:vAlign w:val="center"/>
          </w:tcPr>
          <w:p>
            <w:pPr>
              <w:pStyle w:val="52"/>
              <w:jc w:val="center"/>
              <w:rPr>
                <w:szCs w:val="20"/>
              </w:rPr>
            </w:pPr>
            <w:r>
              <w:rPr>
                <w:rFonts w:hint="eastAsia"/>
              </w:rPr>
              <w:t>中值</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投递简历</w:t>
            </w:r>
          </w:p>
        </w:tc>
        <w:tc>
          <w:tcPr>
            <w:tcW w:w="1080" w:type="dxa"/>
            <w:shd w:val="clear" w:color="auto" w:fill="auto"/>
            <w:vAlign w:val="center"/>
          </w:tcPr>
          <w:p>
            <w:pPr>
              <w:pStyle w:val="52"/>
              <w:jc w:val="center"/>
            </w:pPr>
            <w:r>
              <w:t>28</w:t>
            </w:r>
          </w:p>
        </w:tc>
        <w:tc>
          <w:tcPr>
            <w:tcW w:w="1080" w:type="dxa"/>
            <w:shd w:val="clear" w:color="auto" w:fill="auto"/>
            <w:vAlign w:val="center"/>
          </w:tcPr>
          <w:p>
            <w:pPr>
              <w:pStyle w:val="52"/>
              <w:jc w:val="center"/>
              <w:rPr>
                <w:szCs w:val="20"/>
              </w:rPr>
            </w:pPr>
            <w:r>
              <w:t>7.32</w:t>
            </w:r>
          </w:p>
        </w:tc>
        <w:tc>
          <w:tcPr>
            <w:tcW w:w="1080" w:type="dxa"/>
            <w:shd w:val="clear" w:color="auto" w:fill="auto"/>
            <w:vAlign w:val="center"/>
          </w:tcPr>
          <w:p>
            <w:pPr>
              <w:pStyle w:val="52"/>
              <w:jc w:val="center"/>
              <w:rPr>
                <w:szCs w:val="20"/>
              </w:rPr>
            </w:pPr>
            <w:r>
              <w:t>7.73</w:t>
            </w:r>
          </w:p>
        </w:tc>
        <w:tc>
          <w:tcPr>
            <w:tcW w:w="1080" w:type="dxa"/>
            <w:shd w:val="clear" w:color="auto" w:fill="auto"/>
            <w:vAlign w:val="center"/>
          </w:tcPr>
          <w:p>
            <w:pPr>
              <w:pStyle w:val="52"/>
              <w:jc w:val="center"/>
              <w:rPr>
                <w:szCs w:val="20"/>
              </w:rPr>
            </w:pPr>
            <w:r>
              <w:t>5.00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pPr>
            <w:r>
              <w:rPr>
                <w:rFonts w:hint="eastAsia"/>
              </w:rPr>
              <w:t>收到面试邀请</w:t>
            </w:r>
          </w:p>
        </w:tc>
        <w:tc>
          <w:tcPr>
            <w:tcW w:w="1080" w:type="dxa"/>
            <w:shd w:val="clear" w:color="auto" w:fill="auto"/>
            <w:vAlign w:val="center"/>
          </w:tcPr>
          <w:p>
            <w:pPr>
              <w:pStyle w:val="52"/>
              <w:jc w:val="center"/>
            </w:pPr>
            <w:r>
              <w:t>27</w:t>
            </w:r>
          </w:p>
        </w:tc>
        <w:tc>
          <w:tcPr>
            <w:tcW w:w="1080" w:type="dxa"/>
            <w:shd w:val="clear" w:color="auto" w:fill="auto"/>
            <w:vAlign w:val="center"/>
          </w:tcPr>
          <w:p>
            <w:pPr>
              <w:pStyle w:val="52"/>
              <w:jc w:val="center"/>
              <w:rPr>
                <w:szCs w:val="20"/>
              </w:rPr>
            </w:pPr>
            <w:r>
              <w:t>4.37</w:t>
            </w:r>
          </w:p>
        </w:tc>
        <w:tc>
          <w:tcPr>
            <w:tcW w:w="1080" w:type="dxa"/>
            <w:shd w:val="clear" w:color="auto" w:fill="auto"/>
            <w:vAlign w:val="center"/>
          </w:tcPr>
          <w:p>
            <w:pPr>
              <w:pStyle w:val="52"/>
              <w:jc w:val="center"/>
              <w:rPr>
                <w:szCs w:val="20"/>
              </w:rPr>
            </w:pPr>
            <w:r>
              <w:t>3.39</w:t>
            </w:r>
          </w:p>
        </w:tc>
        <w:tc>
          <w:tcPr>
            <w:tcW w:w="1080" w:type="dxa"/>
            <w:shd w:val="clear" w:color="auto" w:fill="auto"/>
            <w:vAlign w:val="center"/>
          </w:tcPr>
          <w:p>
            <w:pPr>
              <w:pStyle w:val="52"/>
              <w:jc w:val="center"/>
              <w:rPr>
                <w:szCs w:val="20"/>
              </w:rPr>
            </w:pPr>
            <w:r>
              <w:t>4.00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97" w:type="dxa"/>
            <w:shd w:val="clear" w:color="auto" w:fill="auto"/>
            <w:vAlign w:val="center"/>
          </w:tcPr>
          <w:p>
            <w:pPr>
              <w:pStyle w:val="52"/>
              <w:rPr>
                <w:szCs w:val="20"/>
              </w:rPr>
            </w:pPr>
            <w:r>
              <w:rPr>
                <w:rFonts w:hint="eastAsia"/>
              </w:rPr>
              <w:t>收到录取通知</w:t>
            </w:r>
          </w:p>
        </w:tc>
        <w:tc>
          <w:tcPr>
            <w:tcW w:w="1080" w:type="dxa"/>
            <w:shd w:val="clear" w:color="auto" w:fill="auto"/>
            <w:vAlign w:val="center"/>
          </w:tcPr>
          <w:p>
            <w:pPr>
              <w:pStyle w:val="52"/>
              <w:jc w:val="center"/>
              <w:rPr>
                <w:szCs w:val="20"/>
              </w:rPr>
            </w:pPr>
            <w:r>
              <w:t>26</w:t>
            </w:r>
          </w:p>
        </w:tc>
        <w:tc>
          <w:tcPr>
            <w:tcW w:w="1080" w:type="dxa"/>
            <w:shd w:val="clear" w:color="auto" w:fill="auto"/>
            <w:vAlign w:val="center"/>
          </w:tcPr>
          <w:p>
            <w:pPr>
              <w:pStyle w:val="52"/>
              <w:jc w:val="center"/>
              <w:rPr>
                <w:szCs w:val="20"/>
              </w:rPr>
            </w:pPr>
            <w:r>
              <w:t>2.50</w:t>
            </w:r>
          </w:p>
        </w:tc>
        <w:tc>
          <w:tcPr>
            <w:tcW w:w="1080" w:type="dxa"/>
            <w:shd w:val="clear" w:color="auto" w:fill="auto"/>
            <w:vAlign w:val="center"/>
          </w:tcPr>
          <w:p>
            <w:pPr>
              <w:pStyle w:val="52"/>
              <w:jc w:val="center"/>
              <w:rPr>
                <w:szCs w:val="20"/>
              </w:rPr>
            </w:pPr>
            <w:r>
              <w:t>2.16</w:t>
            </w:r>
          </w:p>
        </w:tc>
        <w:tc>
          <w:tcPr>
            <w:tcW w:w="1080" w:type="dxa"/>
            <w:shd w:val="clear" w:color="auto" w:fill="auto"/>
            <w:vAlign w:val="center"/>
          </w:tcPr>
          <w:p>
            <w:pPr>
              <w:pStyle w:val="52"/>
              <w:jc w:val="center"/>
              <w:rPr>
                <w:szCs w:val="20"/>
              </w:rPr>
            </w:pPr>
            <w:r>
              <w:t>2.00</w:t>
            </w:r>
          </w:p>
        </w:tc>
      </w:tr>
    </w:tbl>
    <w:p>
      <w:pPr>
        <w:pStyle w:val="70"/>
      </w:pPr>
      <w:r>
        <w:rPr>
          <w:rFonts w:hint="eastAsia"/>
        </w:rPr>
        <w:t>（2）不同专业研究生简历投递、面试机会及工作机会</w:t>
      </w:r>
    </w:p>
    <w:p>
      <w:pPr>
        <w:pStyle w:val="37"/>
        <w:ind w:firstLine="480"/>
      </w:pPr>
      <w:r>
        <w:rPr>
          <w:rFonts w:hint="eastAsia"/>
        </w:rPr>
        <w:t>就不同专业而言，研究生投递简历数量最多的专业是艺术学理论（11.00份）；面试机会最多的专业是戏剧（5.20次）；收到录取通知数量最多的专业是戏剧（3.10份）。</w:t>
      </w:r>
    </w:p>
    <w:p>
      <w:pPr>
        <w:jc w:val="center"/>
      </w:pPr>
      <w:r>
        <w:rPr>
          <w:rFonts w:hint="eastAsia"/>
        </w:rPr>
        <w:drawing>
          <wp:inline distT="0" distB="0" distL="0" distR="0">
            <wp:extent cx="6134100" cy="3077210"/>
            <wp:effectExtent l="19050" t="0" r="19050" b="8890"/>
            <wp:docPr id="3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59"/>
        <w:spacing w:before="156" w:after="312"/>
      </w:pPr>
      <w:r>
        <w:rPr>
          <w:rFonts w:hint="eastAsia"/>
        </w:rPr>
        <w:t>不同专业研究生投递简历数、面试邀请数、录用通知数</w:t>
      </w:r>
    </w:p>
    <w:p>
      <w:pPr>
        <w:pStyle w:val="53"/>
        <w:spacing w:before="312" w:after="156"/>
      </w:pPr>
      <w:r>
        <w:rPr>
          <w:rFonts w:hint="eastAsia"/>
        </w:rPr>
        <w:t>不同专业研究生投递简历数、面试邀请数、录用通知数</w:t>
      </w:r>
    </w:p>
    <w:tbl>
      <w:tblPr>
        <w:tblStyle w:val="33"/>
        <w:tblW w:w="9235" w:type="dxa"/>
        <w:jc w:val="center"/>
        <w:tblInd w:w="0" w:type="dxa"/>
        <w:tblLayout w:type="fixed"/>
        <w:tblCellMar>
          <w:top w:w="0" w:type="dxa"/>
          <w:left w:w="108" w:type="dxa"/>
          <w:bottom w:w="0" w:type="dxa"/>
          <w:right w:w="108" w:type="dxa"/>
        </w:tblCellMar>
      </w:tblPr>
      <w:tblGrid>
        <w:gridCol w:w="1476"/>
        <w:gridCol w:w="429"/>
        <w:gridCol w:w="695"/>
        <w:gridCol w:w="846"/>
        <w:gridCol w:w="695"/>
        <w:gridCol w:w="429"/>
        <w:gridCol w:w="636"/>
        <w:gridCol w:w="846"/>
        <w:gridCol w:w="636"/>
        <w:gridCol w:w="429"/>
        <w:gridCol w:w="636"/>
        <w:gridCol w:w="846"/>
        <w:gridCol w:w="636"/>
      </w:tblGrid>
      <w:tr>
        <w:tblPrEx>
          <w:tblLayout w:type="fixed"/>
          <w:tblCellMar>
            <w:top w:w="0" w:type="dxa"/>
            <w:left w:w="108" w:type="dxa"/>
            <w:bottom w:w="0" w:type="dxa"/>
            <w:right w:w="108" w:type="dxa"/>
          </w:tblCellMar>
        </w:tblPrEx>
        <w:trPr>
          <w:trHeight w:val="300" w:hRule="atLeast"/>
          <w:jc w:val="center"/>
        </w:trPr>
        <w:tc>
          <w:tcPr>
            <w:tcW w:w="1476" w:type="dxa"/>
            <w:vMerge w:val="restart"/>
            <w:tcBorders>
              <w:top w:val="single" w:color="00B050" w:sz="8" w:space="0"/>
              <w:left w:val="single" w:color="00B050" w:sz="8" w:space="0"/>
              <w:bottom w:val="single" w:color="00B050" w:sz="12" w:space="0"/>
              <w:right w:val="dotted" w:color="00B050" w:sz="8" w:space="0"/>
            </w:tcBorders>
            <w:shd w:val="clear" w:color="auto" w:fill="auto"/>
            <w:vAlign w:val="center"/>
          </w:tcPr>
          <w:p>
            <w:pPr>
              <w:widowControl/>
              <w:jc w:val="center"/>
              <w:rPr>
                <w:rFonts w:ascii="宋体" w:hAnsi="宋体" w:cs="宋体"/>
                <w:color w:val="000000"/>
                <w:kern w:val="0"/>
                <w:szCs w:val="21"/>
              </w:rPr>
            </w:pPr>
          </w:p>
        </w:tc>
        <w:tc>
          <w:tcPr>
            <w:tcW w:w="2665"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投递简历</w:t>
            </w:r>
          </w:p>
        </w:tc>
        <w:tc>
          <w:tcPr>
            <w:tcW w:w="2547" w:type="dxa"/>
            <w:gridSpan w:val="4"/>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收到面试邀请</w:t>
            </w:r>
          </w:p>
        </w:tc>
        <w:tc>
          <w:tcPr>
            <w:tcW w:w="2547" w:type="dxa"/>
            <w:gridSpan w:val="4"/>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rFonts w:ascii="宋体" w:hAnsi="宋体" w:cs="宋体"/>
                <w:color w:val="000000"/>
                <w:kern w:val="0"/>
                <w:szCs w:val="21"/>
              </w:rPr>
            </w:pPr>
            <w:r>
              <w:rPr>
                <w:rFonts w:hint="eastAsia"/>
              </w:rPr>
              <w:t>收到录取通知</w:t>
            </w:r>
          </w:p>
        </w:tc>
      </w:tr>
      <w:tr>
        <w:tblPrEx>
          <w:tblLayout w:type="fixed"/>
          <w:tblCellMar>
            <w:top w:w="0" w:type="dxa"/>
            <w:left w:w="108" w:type="dxa"/>
            <w:bottom w:w="0" w:type="dxa"/>
            <w:right w:w="108" w:type="dxa"/>
          </w:tblCellMar>
        </w:tblPrEx>
        <w:trPr>
          <w:trHeight w:val="285" w:hRule="atLeast"/>
          <w:jc w:val="center"/>
        </w:trPr>
        <w:tc>
          <w:tcPr>
            <w:tcW w:w="1476" w:type="dxa"/>
            <w:vMerge w:val="continue"/>
            <w:tcBorders>
              <w:top w:val="single" w:color="00B050" w:sz="12" w:space="0"/>
              <w:left w:val="single" w:color="00B050" w:sz="8" w:space="0"/>
              <w:bottom w:val="single" w:color="00B050" w:sz="8" w:space="0"/>
              <w:right w:val="dotted" w:color="00B050" w:sz="8" w:space="0"/>
            </w:tcBorders>
            <w:vAlign w:val="center"/>
          </w:tcPr>
          <w:p>
            <w:pPr>
              <w:widowControl/>
              <w:jc w:val="left"/>
              <w:rPr>
                <w:rFonts w:ascii="宋体" w:hAnsi="宋体" w:cs="宋体"/>
                <w:color w:val="000000"/>
                <w:kern w:val="0"/>
                <w:szCs w:val="21"/>
              </w:rPr>
            </w:pP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95"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95" w:type="dxa"/>
            <w:tcBorders>
              <w:top w:val="nil"/>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中值</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36" w:type="dxa"/>
            <w:tcBorders>
              <w:top w:val="nil"/>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中值</w:t>
            </w:r>
          </w:p>
        </w:tc>
        <w:tc>
          <w:tcPr>
            <w:tcW w:w="42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标准差</w:t>
            </w:r>
          </w:p>
        </w:tc>
        <w:tc>
          <w:tcPr>
            <w:tcW w:w="636" w:type="dxa"/>
            <w:tcBorders>
              <w:top w:val="nil"/>
              <w:left w:val="dotted" w:color="00B050" w:sz="8" w:space="0"/>
              <w:bottom w:val="single" w:color="00B050" w:sz="8" w:space="0"/>
              <w:right w:val="single" w:color="00B050" w:sz="8"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中值</w:t>
            </w:r>
          </w:p>
        </w:tc>
      </w:tr>
      <w:tr>
        <w:tblPrEx>
          <w:tblLayout w:type="fixed"/>
          <w:tblCellMar>
            <w:top w:w="0" w:type="dxa"/>
            <w:left w:w="108" w:type="dxa"/>
            <w:bottom w:w="0" w:type="dxa"/>
            <w:right w:w="108" w:type="dxa"/>
          </w:tblCellMar>
        </w:tblPrEx>
        <w:trPr>
          <w:trHeight w:val="30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6.91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9.32</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5.20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4.83</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3.10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2.64</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3.00</w:t>
            </w:r>
          </w:p>
        </w:tc>
      </w:tr>
      <w:tr>
        <w:tblPrEx>
          <w:tblLayout w:type="fixed"/>
          <w:tblCellMar>
            <w:top w:w="0" w:type="dxa"/>
            <w:left w:w="108" w:type="dxa"/>
            <w:bottom w:w="0" w:type="dxa"/>
            <w:right w:w="108" w:type="dxa"/>
          </w:tblCellMar>
        </w:tblPrEx>
        <w:trPr>
          <w:trHeight w:val="30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戏剧与影视学</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15</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7.13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6.29</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6.00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15</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3.93</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2.28</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4.00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2.21</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1.89</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1.00</w:t>
            </w:r>
          </w:p>
        </w:tc>
      </w:tr>
      <w:tr>
        <w:tblPrEx>
          <w:tblLayout w:type="fixed"/>
          <w:tblCellMar>
            <w:top w:w="0" w:type="dxa"/>
            <w:left w:w="108" w:type="dxa"/>
            <w:bottom w:w="0" w:type="dxa"/>
            <w:right w:w="108" w:type="dxa"/>
          </w:tblCellMar>
        </w:tblPrEx>
        <w:trPr>
          <w:trHeight w:val="30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艺术学理论</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95"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12.73</w:t>
            </w:r>
          </w:p>
        </w:tc>
        <w:tc>
          <w:tcPr>
            <w:tcW w:w="695"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11.00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3.50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2.12</w:t>
            </w:r>
          </w:p>
        </w:tc>
        <w:tc>
          <w:tcPr>
            <w:tcW w:w="636" w:type="dxa"/>
            <w:tcBorders>
              <w:top w:val="single" w:color="00B050" w:sz="8" w:space="0"/>
              <w:left w:val="dotted" w:color="00B050" w:sz="8" w:space="0"/>
              <w:bottom w:val="single" w:color="00B050" w:sz="8" w:space="0"/>
              <w:right w:val="dotted" w:color="00B050" w:sz="8" w:space="0"/>
            </w:tcBorders>
            <w:vAlign w:val="center"/>
          </w:tcPr>
          <w:p>
            <w:pPr>
              <w:widowControl/>
              <w:jc w:val="center"/>
              <w:rPr>
                <w:color w:val="000000"/>
                <w:kern w:val="0"/>
                <w:szCs w:val="21"/>
              </w:rPr>
            </w:pPr>
            <w:r>
              <w:rPr>
                <w:color w:val="000000"/>
                <w:kern w:val="0"/>
                <w:szCs w:val="21"/>
              </w:rPr>
              <w:t>3.50</w:t>
            </w:r>
          </w:p>
        </w:tc>
        <w:tc>
          <w:tcPr>
            <w:tcW w:w="429"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2</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1.50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0.71</w:t>
            </w:r>
          </w:p>
        </w:tc>
        <w:tc>
          <w:tcPr>
            <w:tcW w:w="636" w:type="dxa"/>
            <w:tcBorders>
              <w:top w:val="single" w:color="00B050" w:sz="8" w:space="0"/>
              <w:left w:val="dotted" w:color="00B050" w:sz="8" w:space="0"/>
              <w:bottom w:val="single" w:color="00B050" w:sz="8" w:space="0"/>
              <w:right w:val="single" w:color="00B050" w:sz="8" w:space="0"/>
            </w:tcBorders>
            <w:vAlign w:val="center"/>
          </w:tcPr>
          <w:p>
            <w:pPr>
              <w:widowControl/>
              <w:jc w:val="center"/>
              <w:rPr>
                <w:color w:val="000000"/>
                <w:kern w:val="0"/>
                <w:szCs w:val="21"/>
              </w:rPr>
            </w:pPr>
            <w:r>
              <w:rPr>
                <w:color w:val="000000"/>
                <w:kern w:val="0"/>
                <w:szCs w:val="21"/>
              </w:rPr>
              <w:t>1.50</w:t>
            </w:r>
          </w:p>
        </w:tc>
      </w:tr>
    </w:tbl>
    <w:p/>
    <w:p>
      <w:pPr>
        <w:pStyle w:val="67"/>
      </w:pPr>
      <w:bookmarkStart w:id="223" w:name="_Toc470167434"/>
      <w:r>
        <w:rPr>
          <w:rFonts w:hint="eastAsia"/>
        </w:rPr>
        <w:t>3、</w:t>
      </w:r>
      <w:r>
        <w:t>求职周期</w:t>
      </w:r>
      <w:r>
        <w:rPr>
          <w:rFonts w:hint="eastAsia"/>
        </w:rPr>
        <w:t>和收到第一份录用通知的时间</w:t>
      </w:r>
      <w:bookmarkEnd w:id="223"/>
    </w:p>
    <w:p>
      <w:pPr>
        <w:pStyle w:val="70"/>
      </w:pPr>
      <w:r>
        <w:rPr>
          <w:rFonts w:hint="eastAsia"/>
        </w:rPr>
        <w:t>（1）求职周期</w:t>
      </w:r>
    </w:p>
    <w:p>
      <w:pPr>
        <w:pStyle w:val="75"/>
      </w:pPr>
      <w:bookmarkStart w:id="224" w:name="PO_34331"/>
      <w:bookmarkEnd w:id="224"/>
      <w:r>
        <w:rPr>
          <w:rFonts w:hint="eastAsia"/>
        </w:rPr>
        <w:t>①总体情况</w:t>
      </w:r>
    </w:p>
    <w:p>
      <w:pPr>
        <w:pStyle w:val="37"/>
        <w:ind w:firstLine="480"/>
      </w:pPr>
      <w:r>
        <w:rPr>
          <w:rFonts w:hint="eastAsia"/>
        </w:rPr>
        <w:t>调查显示，研究生求职初始到最终落实工作所用时间平均为3.42个月。</w:t>
      </w:r>
    </w:p>
    <w:p>
      <w:pPr>
        <w:pStyle w:val="53"/>
        <w:spacing w:before="312" w:after="156"/>
      </w:pPr>
      <w:r>
        <w:rPr>
          <w:rFonts w:hint="eastAsia"/>
        </w:rPr>
        <w:t>研究生求职周期</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26</w:t>
            </w:r>
          </w:p>
        </w:tc>
        <w:tc>
          <w:tcPr>
            <w:tcW w:w="1067" w:type="dxa"/>
            <w:vAlign w:val="center"/>
          </w:tcPr>
          <w:p>
            <w:pPr>
              <w:pStyle w:val="52"/>
              <w:jc w:val="center"/>
              <w:rPr>
                <w:kern w:val="0"/>
              </w:rPr>
            </w:pPr>
            <w:r>
              <w:rPr>
                <w:kern w:val="0"/>
              </w:rPr>
              <w:t>3.00</w:t>
            </w:r>
          </w:p>
        </w:tc>
        <w:tc>
          <w:tcPr>
            <w:tcW w:w="1067" w:type="dxa"/>
            <w:shd w:val="clear" w:color="auto" w:fill="auto"/>
            <w:vAlign w:val="center"/>
          </w:tcPr>
          <w:p>
            <w:pPr>
              <w:pStyle w:val="52"/>
              <w:jc w:val="center"/>
              <w:rPr>
                <w:kern w:val="0"/>
              </w:rPr>
            </w:pPr>
            <w:r>
              <w:rPr>
                <w:kern w:val="0"/>
              </w:rPr>
              <w:t>3.42</w:t>
            </w:r>
          </w:p>
        </w:tc>
        <w:tc>
          <w:tcPr>
            <w:tcW w:w="1068" w:type="dxa"/>
            <w:shd w:val="clear" w:color="auto" w:fill="auto"/>
            <w:vAlign w:val="center"/>
          </w:tcPr>
          <w:p>
            <w:pPr>
              <w:pStyle w:val="52"/>
              <w:jc w:val="center"/>
              <w:rPr>
                <w:kern w:val="0"/>
              </w:rPr>
            </w:pPr>
            <w:r>
              <w:rPr>
                <w:kern w:val="0"/>
              </w:rPr>
              <w:t>2.23</w:t>
            </w:r>
          </w:p>
        </w:tc>
      </w:tr>
    </w:tbl>
    <w:p>
      <w:pPr>
        <w:pStyle w:val="75"/>
      </w:pPr>
      <w:r>
        <w:rPr>
          <w:rFonts w:hint="eastAsia"/>
        </w:rPr>
        <w:t>②不同专业研究生求职周期</w:t>
      </w:r>
    </w:p>
    <w:p>
      <w:pPr>
        <w:pStyle w:val="37"/>
        <w:ind w:firstLine="480"/>
      </w:pPr>
      <w:r>
        <w:rPr>
          <w:rFonts w:hint="eastAsia"/>
        </w:rPr>
        <w:t>就专业而言，方差检验显示，不同专业的研究生求职初始到最终落实工作所用时间不存在显著性差异（F=0.28，p&gt;0.05）。</w:t>
      </w:r>
    </w:p>
    <w:p>
      <w:pPr>
        <w:jc w:val="center"/>
      </w:pPr>
      <w:r>
        <w:rPr>
          <w:rFonts w:hint="eastAsia"/>
        </w:rPr>
        <w:drawing>
          <wp:inline distT="0" distB="0" distL="0" distR="0">
            <wp:extent cx="6124575" cy="3077210"/>
            <wp:effectExtent l="19050" t="0" r="9525" b="8890"/>
            <wp:docPr id="37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59"/>
        <w:spacing w:before="156" w:after="312"/>
      </w:pPr>
      <w:r>
        <w:rPr>
          <w:rFonts w:hint="eastAsia"/>
        </w:rPr>
        <w:t>不同专业研究生求职周期</w:t>
      </w:r>
    </w:p>
    <w:p>
      <w:pPr>
        <w:pStyle w:val="53"/>
        <w:spacing w:before="312" w:after="156"/>
      </w:pPr>
      <w:r>
        <w:rPr>
          <w:rFonts w:hint="eastAsia"/>
        </w:rPr>
        <w:t>研究生求职周期</w:t>
      </w:r>
    </w:p>
    <w:tbl>
      <w:tblPr>
        <w:tblStyle w:val="33"/>
        <w:tblW w:w="5712"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636"/>
        <w:gridCol w:w="846"/>
        <w:gridCol w:w="636"/>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476" w:type="dxa"/>
            <w:tcBorders>
              <w:left w:val="dotted" w:color="00B050" w:sz="8" w:space="0"/>
            </w:tcBorders>
            <w:shd w:val="clear" w:color="auto" w:fill="auto"/>
            <w:vAlign w:val="center"/>
          </w:tcPr>
          <w:p>
            <w:pPr>
              <w:pStyle w:val="52"/>
              <w:jc w:val="left"/>
              <w:rPr>
                <w:kern w:val="0"/>
              </w:rPr>
            </w:pPr>
          </w:p>
        </w:tc>
        <w:tc>
          <w:tcPr>
            <w:tcW w:w="426" w:type="dxa"/>
            <w:shd w:val="clear" w:color="auto" w:fill="auto"/>
            <w:vAlign w:val="center"/>
          </w:tcPr>
          <w:p>
            <w:pPr>
              <w:pStyle w:val="52"/>
              <w:jc w:val="center"/>
              <w:rPr>
                <w:kern w:val="0"/>
              </w:rPr>
            </w:pPr>
            <w:r>
              <w:rPr>
                <w:rFonts w:eastAsia="MingLiU"/>
                <w:kern w:val="0"/>
              </w:rPr>
              <w:t>N</w:t>
            </w:r>
          </w:p>
        </w:tc>
        <w:tc>
          <w:tcPr>
            <w:tcW w:w="636" w:type="dxa"/>
            <w:shd w:val="clear" w:color="auto" w:fill="auto"/>
            <w:vAlign w:val="center"/>
          </w:tcPr>
          <w:p>
            <w:pPr>
              <w:pStyle w:val="52"/>
              <w:jc w:val="center"/>
              <w:rPr>
                <w:kern w:val="0"/>
              </w:rPr>
            </w:pPr>
            <w:r>
              <w:rPr>
                <w:rFonts w:hint="eastAsia"/>
                <w:kern w:val="0"/>
              </w:rPr>
              <w:t>均值</w:t>
            </w:r>
          </w:p>
        </w:tc>
        <w:tc>
          <w:tcPr>
            <w:tcW w:w="846" w:type="dxa"/>
            <w:shd w:val="clear" w:color="auto" w:fill="auto"/>
            <w:vAlign w:val="center"/>
          </w:tcPr>
          <w:p>
            <w:pPr>
              <w:pStyle w:val="52"/>
              <w:jc w:val="center"/>
              <w:rPr>
                <w:kern w:val="0"/>
              </w:rPr>
            </w:pPr>
            <w:r>
              <w:rPr>
                <w:rFonts w:hint="eastAsia"/>
                <w:kern w:val="0"/>
              </w:rPr>
              <w:t>标准差</w:t>
            </w:r>
          </w:p>
        </w:tc>
        <w:tc>
          <w:tcPr>
            <w:tcW w:w="636"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w:t>
            </w:r>
          </w:p>
        </w:tc>
        <w:tc>
          <w:tcPr>
            <w:tcW w:w="426" w:type="dxa"/>
            <w:shd w:val="clear" w:color="auto" w:fill="auto"/>
            <w:vAlign w:val="center"/>
          </w:tcPr>
          <w:p>
            <w:pPr>
              <w:pStyle w:val="52"/>
              <w:jc w:val="center"/>
              <w:rPr>
                <w:rFonts w:eastAsia="MingLiU"/>
                <w:kern w:val="0"/>
              </w:rPr>
            </w:pPr>
            <w:r>
              <w:rPr>
                <w:rFonts w:eastAsia="MingLiU"/>
                <w:kern w:val="0"/>
              </w:rPr>
              <w:t>10</w:t>
            </w:r>
          </w:p>
        </w:tc>
        <w:tc>
          <w:tcPr>
            <w:tcW w:w="636" w:type="dxa"/>
            <w:shd w:val="clear" w:color="auto" w:fill="auto"/>
            <w:vAlign w:val="center"/>
          </w:tcPr>
          <w:p>
            <w:pPr>
              <w:pStyle w:val="52"/>
              <w:jc w:val="center"/>
              <w:rPr>
                <w:kern w:val="0"/>
              </w:rPr>
            </w:pPr>
            <w:r>
              <w:rPr>
                <w:kern w:val="0"/>
              </w:rPr>
              <w:t>3.50</w:t>
            </w:r>
          </w:p>
        </w:tc>
        <w:tc>
          <w:tcPr>
            <w:tcW w:w="846" w:type="dxa"/>
            <w:shd w:val="clear" w:color="auto" w:fill="auto"/>
            <w:vAlign w:val="center"/>
          </w:tcPr>
          <w:p>
            <w:pPr>
              <w:pStyle w:val="52"/>
              <w:jc w:val="center"/>
              <w:rPr>
                <w:kern w:val="0"/>
              </w:rPr>
            </w:pPr>
            <w:r>
              <w:rPr>
                <w:kern w:val="0"/>
              </w:rPr>
              <w:t>2.37</w:t>
            </w:r>
          </w:p>
        </w:tc>
        <w:tc>
          <w:tcPr>
            <w:tcW w:w="636" w:type="dxa"/>
            <w:vAlign w:val="center"/>
          </w:tcPr>
          <w:p>
            <w:pPr>
              <w:pStyle w:val="52"/>
              <w:jc w:val="center"/>
              <w:rPr>
                <w:kern w:val="0"/>
              </w:rPr>
            </w:pPr>
            <w:r>
              <w:rPr>
                <w:kern w:val="0"/>
              </w:rPr>
              <w:t>3.00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F=0.28</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戏剧与影视学</w:t>
            </w:r>
          </w:p>
        </w:tc>
        <w:tc>
          <w:tcPr>
            <w:tcW w:w="426" w:type="dxa"/>
            <w:shd w:val="clear" w:color="auto" w:fill="auto"/>
            <w:vAlign w:val="center"/>
          </w:tcPr>
          <w:p>
            <w:pPr>
              <w:pStyle w:val="52"/>
              <w:jc w:val="center"/>
              <w:rPr>
                <w:rFonts w:eastAsia="MingLiU"/>
                <w:kern w:val="0"/>
              </w:rPr>
            </w:pPr>
            <w:r>
              <w:rPr>
                <w:rFonts w:eastAsia="MingLiU"/>
                <w:kern w:val="0"/>
              </w:rPr>
              <w:t>14</w:t>
            </w:r>
          </w:p>
        </w:tc>
        <w:tc>
          <w:tcPr>
            <w:tcW w:w="636" w:type="dxa"/>
            <w:shd w:val="clear" w:color="auto" w:fill="auto"/>
            <w:vAlign w:val="center"/>
          </w:tcPr>
          <w:p>
            <w:pPr>
              <w:pStyle w:val="52"/>
              <w:jc w:val="center"/>
              <w:rPr>
                <w:kern w:val="0"/>
              </w:rPr>
            </w:pPr>
            <w:r>
              <w:rPr>
                <w:kern w:val="0"/>
              </w:rPr>
              <w:t>3.21</w:t>
            </w:r>
          </w:p>
        </w:tc>
        <w:tc>
          <w:tcPr>
            <w:tcW w:w="846" w:type="dxa"/>
            <w:shd w:val="clear" w:color="auto" w:fill="auto"/>
            <w:vAlign w:val="center"/>
          </w:tcPr>
          <w:p>
            <w:pPr>
              <w:pStyle w:val="52"/>
              <w:jc w:val="center"/>
              <w:rPr>
                <w:kern w:val="0"/>
              </w:rPr>
            </w:pPr>
            <w:r>
              <w:rPr>
                <w:kern w:val="0"/>
              </w:rPr>
              <w:t>2.26</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艺术学理论</w:t>
            </w:r>
          </w:p>
        </w:tc>
        <w:tc>
          <w:tcPr>
            <w:tcW w:w="426" w:type="dxa"/>
            <w:shd w:val="clear" w:color="auto" w:fill="auto"/>
            <w:vAlign w:val="center"/>
          </w:tcPr>
          <w:p>
            <w:pPr>
              <w:pStyle w:val="52"/>
              <w:jc w:val="center"/>
              <w:rPr>
                <w:rFonts w:eastAsia="MingLiU"/>
                <w:kern w:val="0"/>
              </w:rPr>
            </w:pPr>
            <w:r>
              <w:rPr>
                <w:rFonts w:eastAsia="MingLiU"/>
                <w:kern w:val="0"/>
              </w:rPr>
              <w:t>2</w:t>
            </w:r>
          </w:p>
        </w:tc>
        <w:tc>
          <w:tcPr>
            <w:tcW w:w="636" w:type="dxa"/>
            <w:shd w:val="clear" w:color="auto" w:fill="auto"/>
            <w:vAlign w:val="center"/>
          </w:tcPr>
          <w:p>
            <w:pPr>
              <w:pStyle w:val="52"/>
              <w:jc w:val="center"/>
              <w:rPr>
                <w:kern w:val="0"/>
              </w:rPr>
            </w:pPr>
            <w:r>
              <w:rPr>
                <w:kern w:val="0"/>
              </w:rPr>
              <w:t>4.50</w:t>
            </w:r>
          </w:p>
        </w:tc>
        <w:tc>
          <w:tcPr>
            <w:tcW w:w="846" w:type="dxa"/>
            <w:shd w:val="clear" w:color="auto" w:fill="auto"/>
            <w:vAlign w:val="center"/>
          </w:tcPr>
          <w:p>
            <w:pPr>
              <w:pStyle w:val="52"/>
              <w:jc w:val="center"/>
              <w:rPr>
                <w:kern w:val="0"/>
              </w:rPr>
            </w:pPr>
            <w:r>
              <w:rPr>
                <w:kern w:val="0"/>
              </w:rPr>
              <w:t>2.12</w:t>
            </w:r>
          </w:p>
        </w:tc>
        <w:tc>
          <w:tcPr>
            <w:tcW w:w="636" w:type="dxa"/>
            <w:vAlign w:val="center"/>
          </w:tcPr>
          <w:p>
            <w:pPr>
              <w:pStyle w:val="52"/>
              <w:jc w:val="center"/>
              <w:rPr>
                <w:kern w:val="0"/>
              </w:rPr>
            </w:pPr>
            <w:r>
              <w:rPr>
                <w:kern w:val="0"/>
              </w:rPr>
              <w:t>4.50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11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426" w:type="dxa"/>
            <w:shd w:val="clear" w:color="auto" w:fill="auto"/>
            <w:vAlign w:val="center"/>
          </w:tcPr>
          <w:p>
            <w:pPr>
              <w:pStyle w:val="52"/>
              <w:jc w:val="center"/>
              <w:rPr>
                <w:rFonts w:eastAsia="MingLiU"/>
                <w:kern w:val="0"/>
              </w:rPr>
            </w:pPr>
            <w:r>
              <w:rPr>
                <w:rFonts w:eastAsia="MingLiU"/>
                <w:kern w:val="0"/>
              </w:rPr>
              <w:t>26</w:t>
            </w:r>
          </w:p>
        </w:tc>
        <w:tc>
          <w:tcPr>
            <w:tcW w:w="636" w:type="dxa"/>
            <w:shd w:val="clear" w:color="auto" w:fill="auto"/>
            <w:vAlign w:val="center"/>
          </w:tcPr>
          <w:p>
            <w:pPr>
              <w:pStyle w:val="52"/>
              <w:jc w:val="center"/>
              <w:rPr>
                <w:kern w:val="0"/>
              </w:rPr>
            </w:pPr>
            <w:r>
              <w:rPr>
                <w:kern w:val="0"/>
              </w:rPr>
              <w:t>3.42</w:t>
            </w:r>
          </w:p>
        </w:tc>
        <w:tc>
          <w:tcPr>
            <w:tcW w:w="846" w:type="dxa"/>
            <w:shd w:val="clear" w:color="auto" w:fill="auto"/>
            <w:vAlign w:val="center"/>
          </w:tcPr>
          <w:p>
            <w:pPr>
              <w:pStyle w:val="52"/>
              <w:jc w:val="center"/>
              <w:rPr>
                <w:kern w:val="0"/>
              </w:rPr>
            </w:pPr>
            <w:r>
              <w:rPr>
                <w:kern w:val="0"/>
              </w:rPr>
              <w:t>2.23</w:t>
            </w:r>
          </w:p>
        </w:tc>
        <w:tc>
          <w:tcPr>
            <w:tcW w:w="636" w:type="dxa"/>
            <w:vAlign w:val="center"/>
          </w:tcPr>
          <w:p>
            <w:pPr>
              <w:pStyle w:val="52"/>
              <w:jc w:val="center"/>
              <w:rPr>
                <w:kern w:val="0"/>
              </w:rPr>
            </w:pPr>
            <w:r>
              <w:rPr>
                <w:kern w:val="0"/>
              </w:rPr>
              <w:t>3.00</w:t>
            </w:r>
          </w:p>
        </w:tc>
        <w:tc>
          <w:tcPr>
            <w:tcW w:w="1056" w:type="dxa"/>
            <w:tcBorders>
              <w:right w:val="single" w:color="00B050" w:sz="8" w:space="0"/>
            </w:tcBorders>
            <w:shd w:val="clear" w:color="auto" w:fill="auto"/>
            <w:vAlign w:val="center"/>
          </w:tcPr>
          <w:p>
            <w:pPr>
              <w:pStyle w:val="52"/>
              <w:jc w:val="center"/>
              <w:rPr>
                <w:kern w:val="0"/>
              </w:rPr>
            </w:pPr>
          </w:p>
        </w:tc>
      </w:tr>
    </w:tbl>
    <w:p>
      <w:pPr>
        <w:pStyle w:val="52"/>
      </w:pPr>
    </w:p>
    <w:p>
      <w:pPr>
        <w:pStyle w:val="70"/>
      </w:pPr>
      <w:r>
        <w:rPr>
          <w:rFonts w:hint="eastAsia"/>
        </w:rPr>
        <w:t>（2）收到第一份录用通知的时间</w:t>
      </w:r>
    </w:p>
    <w:p>
      <w:pPr>
        <w:pStyle w:val="75"/>
      </w:pPr>
      <w:bookmarkStart w:id="225" w:name="PO_34332"/>
      <w:bookmarkEnd w:id="225"/>
      <w:r>
        <w:rPr>
          <w:rFonts w:hint="eastAsia"/>
        </w:rPr>
        <w:t>①总体情况</w:t>
      </w:r>
    </w:p>
    <w:p>
      <w:pPr>
        <w:pStyle w:val="37"/>
        <w:ind w:firstLine="480"/>
      </w:pPr>
      <w:r>
        <w:rPr>
          <w:rFonts w:hint="eastAsia"/>
        </w:rPr>
        <w:t>就收到第一份录用通知的时间而言，研究生平均在毕业前3.19个月拿到第一份录用通知，主要集中在2016年5月拿到第一个录取通知。</w:t>
      </w:r>
    </w:p>
    <w:p>
      <w:pPr>
        <w:pStyle w:val="53"/>
        <w:spacing w:before="312" w:after="156"/>
      </w:pPr>
      <w:r>
        <w:rPr>
          <w:rFonts w:hint="eastAsia"/>
        </w:rPr>
        <w:t>研究生收到第一份录用通知的时间</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21</w:t>
            </w:r>
          </w:p>
        </w:tc>
        <w:tc>
          <w:tcPr>
            <w:tcW w:w="1067" w:type="dxa"/>
            <w:vAlign w:val="center"/>
          </w:tcPr>
          <w:p>
            <w:pPr>
              <w:pStyle w:val="52"/>
              <w:jc w:val="center"/>
              <w:rPr>
                <w:kern w:val="0"/>
              </w:rPr>
            </w:pPr>
            <w:r>
              <w:rPr>
                <w:kern w:val="0"/>
              </w:rPr>
              <w:t>2.00</w:t>
            </w:r>
          </w:p>
        </w:tc>
        <w:tc>
          <w:tcPr>
            <w:tcW w:w="1067" w:type="dxa"/>
            <w:shd w:val="clear" w:color="auto" w:fill="auto"/>
            <w:vAlign w:val="center"/>
          </w:tcPr>
          <w:p>
            <w:pPr>
              <w:pStyle w:val="52"/>
              <w:jc w:val="center"/>
              <w:rPr>
                <w:kern w:val="0"/>
              </w:rPr>
            </w:pPr>
            <w:r>
              <w:rPr>
                <w:kern w:val="0"/>
              </w:rPr>
              <w:t>3.19</w:t>
            </w:r>
          </w:p>
        </w:tc>
        <w:tc>
          <w:tcPr>
            <w:tcW w:w="1068" w:type="dxa"/>
            <w:shd w:val="clear" w:color="auto" w:fill="auto"/>
            <w:vAlign w:val="center"/>
          </w:tcPr>
          <w:p>
            <w:pPr>
              <w:pStyle w:val="52"/>
              <w:jc w:val="center"/>
              <w:rPr>
                <w:kern w:val="0"/>
              </w:rPr>
            </w:pPr>
            <w:r>
              <w:rPr>
                <w:kern w:val="0"/>
              </w:rPr>
              <w:t>2.16</w:t>
            </w:r>
          </w:p>
        </w:tc>
      </w:tr>
    </w:tbl>
    <w:p>
      <w:pPr>
        <w:pStyle w:val="75"/>
      </w:pPr>
      <w:r>
        <w:rPr>
          <w:rFonts w:hint="eastAsia"/>
        </w:rPr>
        <w:t>②不同专业研究生收到第一份录用通知的时间</w:t>
      </w:r>
    </w:p>
    <w:p>
      <w:pPr>
        <w:pStyle w:val="37"/>
        <w:ind w:firstLine="480"/>
      </w:pPr>
      <w:r>
        <w:rPr>
          <w:rFonts w:hint="eastAsia"/>
        </w:rPr>
        <w:t>就专业而言，方差检验显示，不同专业的研究生拿到第一份录用通知的时间不存在显著性差异（F=0.53，p&gt;0.05）。</w:t>
      </w:r>
    </w:p>
    <w:p>
      <w:pPr>
        <w:jc w:val="center"/>
      </w:pPr>
      <w:r>
        <w:rPr>
          <w:rFonts w:hint="eastAsia"/>
        </w:rPr>
        <w:drawing>
          <wp:inline distT="0" distB="0" distL="0" distR="0">
            <wp:extent cx="6124575" cy="3077210"/>
            <wp:effectExtent l="19050" t="0" r="9525" b="8890"/>
            <wp:docPr id="37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59"/>
        <w:spacing w:before="156" w:after="312"/>
      </w:pPr>
      <w:r>
        <w:rPr>
          <w:rFonts w:hint="eastAsia"/>
        </w:rPr>
        <w:t>不同专业研究生收到第一份录用通知的时间</w:t>
      </w:r>
    </w:p>
    <w:p>
      <w:pPr>
        <w:pStyle w:val="53"/>
        <w:spacing w:before="312" w:after="156"/>
      </w:pPr>
      <w:r>
        <w:rPr>
          <w:rFonts w:hint="eastAsia"/>
        </w:rPr>
        <w:t>研究生收到第一份录用通知的时间</w:t>
      </w:r>
    </w:p>
    <w:tbl>
      <w:tblPr>
        <w:tblStyle w:val="33"/>
        <w:tblW w:w="5712"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636"/>
        <w:gridCol w:w="846"/>
        <w:gridCol w:w="636"/>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476" w:type="dxa"/>
            <w:tcBorders>
              <w:left w:val="dotted" w:color="00B050" w:sz="8" w:space="0"/>
            </w:tcBorders>
            <w:shd w:val="clear" w:color="auto" w:fill="auto"/>
            <w:vAlign w:val="center"/>
          </w:tcPr>
          <w:p>
            <w:pPr>
              <w:pStyle w:val="52"/>
              <w:jc w:val="left"/>
              <w:rPr>
                <w:kern w:val="0"/>
              </w:rPr>
            </w:pPr>
          </w:p>
        </w:tc>
        <w:tc>
          <w:tcPr>
            <w:tcW w:w="426" w:type="dxa"/>
            <w:shd w:val="clear" w:color="auto" w:fill="auto"/>
            <w:vAlign w:val="center"/>
          </w:tcPr>
          <w:p>
            <w:pPr>
              <w:pStyle w:val="52"/>
              <w:jc w:val="center"/>
              <w:rPr>
                <w:kern w:val="0"/>
              </w:rPr>
            </w:pPr>
            <w:r>
              <w:rPr>
                <w:rFonts w:eastAsia="MingLiU"/>
                <w:kern w:val="0"/>
              </w:rPr>
              <w:t>N</w:t>
            </w:r>
          </w:p>
        </w:tc>
        <w:tc>
          <w:tcPr>
            <w:tcW w:w="636" w:type="dxa"/>
            <w:shd w:val="clear" w:color="auto" w:fill="auto"/>
            <w:vAlign w:val="center"/>
          </w:tcPr>
          <w:p>
            <w:pPr>
              <w:pStyle w:val="52"/>
              <w:jc w:val="center"/>
              <w:rPr>
                <w:kern w:val="0"/>
              </w:rPr>
            </w:pPr>
            <w:r>
              <w:rPr>
                <w:rFonts w:hint="eastAsia"/>
                <w:kern w:val="0"/>
              </w:rPr>
              <w:t>均值</w:t>
            </w:r>
          </w:p>
        </w:tc>
        <w:tc>
          <w:tcPr>
            <w:tcW w:w="846" w:type="dxa"/>
            <w:shd w:val="clear" w:color="auto" w:fill="auto"/>
            <w:vAlign w:val="center"/>
          </w:tcPr>
          <w:p>
            <w:pPr>
              <w:pStyle w:val="52"/>
              <w:jc w:val="center"/>
              <w:rPr>
                <w:kern w:val="0"/>
              </w:rPr>
            </w:pPr>
            <w:r>
              <w:rPr>
                <w:rFonts w:hint="eastAsia"/>
                <w:kern w:val="0"/>
              </w:rPr>
              <w:t>标准差</w:t>
            </w:r>
          </w:p>
        </w:tc>
        <w:tc>
          <w:tcPr>
            <w:tcW w:w="636"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w:t>
            </w:r>
          </w:p>
        </w:tc>
        <w:tc>
          <w:tcPr>
            <w:tcW w:w="426" w:type="dxa"/>
            <w:shd w:val="clear" w:color="auto" w:fill="auto"/>
            <w:vAlign w:val="center"/>
          </w:tcPr>
          <w:p>
            <w:pPr>
              <w:pStyle w:val="52"/>
              <w:jc w:val="center"/>
              <w:rPr>
                <w:rFonts w:eastAsia="MingLiU"/>
                <w:kern w:val="0"/>
              </w:rPr>
            </w:pPr>
            <w:r>
              <w:rPr>
                <w:rFonts w:eastAsia="MingLiU"/>
                <w:kern w:val="0"/>
              </w:rPr>
              <w:t>6</w:t>
            </w:r>
          </w:p>
        </w:tc>
        <w:tc>
          <w:tcPr>
            <w:tcW w:w="636" w:type="dxa"/>
            <w:shd w:val="clear" w:color="auto" w:fill="auto"/>
            <w:vAlign w:val="center"/>
          </w:tcPr>
          <w:p>
            <w:pPr>
              <w:pStyle w:val="52"/>
              <w:jc w:val="center"/>
              <w:rPr>
                <w:kern w:val="0"/>
              </w:rPr>
            </w:pPr>
            <w:r>
              <w:rPr>
                <w:kern w:val="0"/>
              </w:rPr>
              <w:t>2.83</w:t>
            </w:r>
          </w:p>
        </w:tc>
        <w:tc>
          <w:tcPr>
            <w:tcW w:w="846" w:type="dxa"/>
            <w:shd w:val="clear" w:color="auto" w:fill="auto"/>
            <w:vAlign w:val="center"/>
          </w:tcPr>
          <w:p>
            <w:pPr>
              <w:pStyle w:val="52"/>
              <w:jc w:val="center"/>
              <w:rPr>
                <w:kern w:val="0"/>
              </w:rPr>
            </w:pPr>
            <w:r>
              <w:rPr>
                <w:kern w:val="0"/>
              </w:rPr>
              <w:t>2.14</w:t>
            </w:r>
          </w:p>
        </w:tc>
        <w:tc>
          <w:tcPr>
            <w:tcW w:w="636" w:type="dxa"/>
            <w:vAlign w:val="center"/>
          </w:tcPr>
          <w:p>
            <w:pPr>
              <w:pStyle w:val="52"/>
              <w:jc w:val="center"/>
              <w:rPr>
                <w:kern w:val="0"/>
              </w:rPr>
            </w:pPr>
            <w:r>
              <w:rPr>
                <w:kern w:val="0"/>
              </w:rPr>
              <w:t>2.00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F=0.53</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戏剧与影视学</w:t>
            </w:r>
          </w:p>
        </w:tc>
        <w:tc>
          <w:tcPr>
            <w:tcW w:w="426" w:type="dxa"/>
            <w:shd w:val="clear" w:color="auto" w:fill="auto"/>
            <w:vAlign w:val="center"/>
          </w:tcPr>
          <w:p>
            <w:pPr>
              <w:pStyle w:val="52"/>
              <w:jc w:val="center"/>
              <w:rPr>
                <w:rFonts w:eastAsia="MingLiU"/>
                <w:kern w:val="0"/>
              </w:rPr>
            </w:pPr>
            <w:r>
              <w:rPr>
                <w:rFonts w:eastAsia="MingLiU"/>
                <w:kern w:val="0"/>
              </w:rPr>
              <w:t>13</w:t>
            </w:r>
          </w:p>
        </w:tc>
        <w:tc>
          <w:tcPr>
            <w:tcW w:w="636" w:type="dxa"/>
            <w:shd w:val="clear" w:color="auto" w:fill="auto"/>
            <w:vAlign w:val="center"/>
          </w:tcPr>
          <w:p>
            <w:pPr>
              <w:pStyle w:val="52"/>
              <w:jc w:val="center"/>
              <w:rPr>
                <w:kern w:val="0"/>
              </w:rPr>
            </w:pPr>
            <w:r>
              <w:rPr>
                <w:kern w:val="0"/>
              </w:rPr>
              <w:t>3.54</w:t>
            </w:r>
          </w:p>
        </w:tc>
        <w:tc>
          <w:tcPr>
            <w:tcW w:w="846" w:type="dxa"/>
            <w:shd w:val="clear" w:color="auto" w:fill="auto"/>
            <w:vAlign w:val="center"/>
          </w:tcPr>
          <w:p>
            <w:pPr>
              <w:pStyle w:val="52"/>
              <w:jc w:val="center"/>
              <w:rPr>
                <w:kern w:val="0"/>
              </w:rPr>
            </w:pPr>
            <w:r>
              <w:rPr>
                <w:kern w:val="0"/>
              </w:rPr>
              <w:t>2.30</w:t>
            </w:r>
          </w:p>
        </w:tc>
        <w:tc>
          <w:tcPr>
            <w:tcW w:w="636" w:type="dxa"/>
            <w:vAlign w:val="center"/>
          </w:tcPr>
          <w:p>
            <w:pPr>
              <w:pStyle w:val="52"/>
              <w:jc w:val="center"/>
              <w:rPr>
                <w:kern w:val="0"/>
              </w:rPr>
            </w:pPr>
            <w:r>
              <w:rPr>
                <w:kern w:val="0"/>
              </w:rPr>
              <w:t>3.00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艺术学理论</w:t>
            </w:r>
          </w:p>
        </w:tc>
        <w:tc>
          <w:tcPr>
            <w:tcW w:w="426" w:type="dxa"/>
            <w:shd w:val="clear" w:color="auto" w:fill="auto"/>
            <w:vAlign w:val="center"/>
          </w:tcPr>
          <w:p>
            <w:pPr>
              <w:pStyle w:val="52"/>
              <w:jc w:val="center"/>
              <w:rPr>
                <w:rFonts w:eastAsia="MingLiU"/>
                <w:kern w:val="0"/>
              </w:rPr>
            </w:pPr>
            <w:r>
              <w:rPr>
                <w:rFonts w:eastAsia="MingLiU"/>
                <w:kern w:val="0"/>
              </w:rPr>
              <w:t>2</w:t>
            </w:r>
          </w:p>
        </w:tc>
        <w:tc>
          <w:tcPr>
            <w:tcW w:w="636" w:type="dxa"/>
            <w:shd w:val="clear" w:color="auto" w:fill="auto"/>
            <w:vAlign w:val="center"/>
          </w:tcPr>
          <w:p>
            <w:pPr>
              <w:pStyle w:val="52"/>
              <w:jc w:val="center"/>
              <w:rPr>
                <w:kern w:val="0"/>
              </w:rPr>
            </w:pPr>
            <w:r>
              <w:rPr>
                <w:kern w:val="0"/>
              </w:rPr>
              <w:t>2.00</w:t>
            </w:r>
          </w:p>
        </w:tc>
        <w:tc>
          <w:tcPr>
            <w:tcW w:w="846" w:type="dxa"/>
            <w:shd w:val="clear" w:color="auto" w:fill="auto"/>
            <w:vAlign w:val="center"/>
          </w:tcPr>
          <w:p>
            <w:pPr>
              <w:pStyle w:val="52"/>
              <w:jc w:val="center"/>
              <w:rPr>
                <w:kern w:val="0"/>
              </w:rPr>
            </w:pPr>
            <w:r>
              <w:rPr>
                <w:kern w:val="0"/>
              </w:rPr>
              <w:t>1.41</w:t>
            </w:r>
          </w:p>
        </w:tc>
        <w:tc>
          <w:tcPr>
            <w:tcW w:w="636" w:type="dxa"/>
            <w:vAlign w:val="center"/>
          </w:tcPr>
          <w:p>
            <w:pPr>
              <w:pStyle w:val="52"/>
              <w:jc w:val="center"/>
              <w:rPr>
                <w:kern w:val="0"/>
              </w:rPr>
            </w:pPr>
            <w:r>
              <w:rPr>
                <w:kern w:val="0"/>
              </w:rPr>
              <w:t>2.00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11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426" w:type="dxa"/>
            <w:shd w:val="clear" w:color="auto" w:fill="auto"/>
            <w:vAlign w:val="center"/>
          </w:tcPr>
          <w:p>
            <w:pPr>
              <w:pStyle w:val="52"/>
              <w:jc w:val="center"/>
              <w:rPr>
                <w:rFonts w:eastAsia="MingLiU"/>
                <w:kern w:val="0"/>
              </w:rPr>
            </w:pPr>
            <w:r>
              <w:rPr>
                <w:rFonts w:eastAsia="MingLiU"/>
                <w:kern w:val="0"/>
              </w:rPr>
              <w:t>21</w:t>
            </w:r>
          </w:p>
        </w:tc>
        <w:tc>
          <w:tcPr>
            <w:tcW w:w="636" w:type="dxa"/>
            <w:shd w:val="clear" w:color="auto" w:fill="auto"/>
            <w:vAlign w:val="center"/>
          </w:tcPr>
          <w:p>
            <w:pPr>
              <w:pStyle w:val="52"/>
              <w:jc w:val="center"/>
              <w:rPr>
                <w:kern w:val="0"/>
              </w:rPr>
            </w:pPr>
            <w:r>
              <w:rPr>
                <w:kern w:val="0"/>
              </w:rPr>
              <w:t>3.19</w:t>
            </w:r>
          </w:p>
        </w:tc>
        <w:tc>
          <w:tcPr>
            <w:tcW w:w="846" w:type="dxa"/>
            <w:shd w:val="clear" w:color="auto" w:fill="auto"/>
            <w:vAlign w:val="center"/>
          </w:tcPr>
          <w:p>
            <w:pPr>
              <w:pStyle w:val="52"/>
              <w:jc w:val="center"/>
              <w:rPr>
                <w:kern w:val="0"/>
              </w:rPr>
            </w:pPr>
            <w:r>
              <w:rPr>
                <w:kern w:val="0"/>
              </w:rPr>
              <w:t>2.16</w:t>
            </w:r>
          </w:p>
        </w:tc>
        <w:tc>
          <w:tcPr>
            <w:tcW w:w="636" w:type="dxa"/>
            <w:vAlign w:val="center"/>
          </w:tcPr>
          <w:p>
            <w:pPr>
              <w:pStyle w:val="52"/>
              <w:jc w:val="center"/>
              <w:rPr>
                <w:kern w:val="0"/>
              </w:rPr>
            </w:pPr>
            <w:r>
              <w:rPr>
                <w:kern w:val="0"/>
              </w:rPr>
              <w:t>2.00</w:t>
            </w:r>
          </w:p>
        </w:tc>
        <w:tc>
          <w:tcPr>
            <w:tcW w:w="1056" w:type="dxa"/>
            <w:tcBorders>
              <w:right w:val="single" w:color="00B050" w:sz="8" w:space="0"/>
            </w:tcBorders>
            <w:shd w:val="clear" w:color="auto" w:fill="auto"/>
            <w:vAlign w:val="center"/>
          </w:tcPr>
          <w:p>
            <w:pPr>
              <w:pStyle w:val="52"/>
              <w:jc w:val="center"/>
              <w:rPr>
                <w:kern w:val="0"/>
              </w:rPr>
            </w:pPr>
          </w:p>
        </w:tc>
      </w:tr>
    </w:tbl>
    <w:p/>
    <w:p>
      <w:pPr>
        <w:pStyle w:val="67"/>
      </w:pPr>
      <w:bookmarkStart w:id="226" w:name="_Toc470167435"/>
      <w:r>
        <w:rPr>
          <w:rFonts w:hint="eastAsia"/>
        </w:rPr>
        <w:t>4、求职花费</w:t>
      </w:r>
      <w:bookmarkEnd w:id="226"/>
    </w:p>
    <w:p>
      <w:pPr>
        <w:pStyle w:val="70"/>
      </w:pPr>
      <w:bookmarkStart w:id="227" w:name="PO_3434"/>
      <w:bookmarkEnd w:id="227"/>
      <w:r>
        <w:rPr>
          <w:rFonts w:hint="eastAsia"/>
        </w:rPr>
        <w:t>（1）总体情况</w:t>
      </w:r>
    </w:p>
    <w:p>
      <w:pPr>
        <w:pStyle w:val="37"/>
        <w:ind w:firstLine="480"/>
      </w:pPr>
      <w:r>
        <w:rPr>
          <w:rFonts w:hint="eastAsia"/>
        </w:rPr>
        <w:t>调查显示，研究生用于求职的花费平均为1922.96元。</w:t>
      </w:r>
    </w:p>
    <w:p>
      <w:pPr>
        <w:pStyle w:val="53"/>
        <w:spacing w:before="312" w:after="156"/>
      </w:pPr>
      <w:r>
        <w:rPr>
          <w:rFonts w:hint="eastAsia"/>
        </w:rPr>
        <w:t>研究生求职花费</w:t>
      </w:r>
    </w:p>
    <w:tbl>
      <w:tblPr>
        <w:tblStyle w:val="33"/>
        <w:tblW w:w="4269"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67"/>
        <w:gridCol w:w="1067"/>
        <w:gridCol w:w="1067"/>
        <w:gridCol w:w="1068"/>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67" w:type="dxa"/>
            <w:tcBorders>
              <w:left w:val="single" w:color="00B050" w:sz="8" w:space="0"/>
            </w:tcBorders>
            <w:vAlign w:val="center"/>
          </w:tcPr>
          <w:p>
            <w:pPr>
              <w:pStyle w:val="52"/>
              <w:jc w:val="center"/>
              <w:rPr>
                <w:kern w:val="0"/>
              </w:rPr>
            </w:pPr>
            <w:r>
              <w:rPr>
                <w:rFonts w:hint="eastAsia"/>
                <w:kern w:val="0"/>
              </w:rPr>
              <w:t>N</w:t>
            </w:r>
          </w:p>
        </w:tc>
        <w:tc>
          <w:tcPr>
            <w:tcW w:w="1067" w:type="dxa"/>
            <w:vAlign w:val="center"/>
          </w:tcPr>
          <w:p>
            <w:pPr>
              <w:pStyle w:val="52"/>
              <w:jc w:val="center"/>
              <w:rPr>
                <w:kern w:val="0"/>
              </w:rPr>
            </w:pPr>
            <w:r>
              <w:rPr>
                <w:kern w:val="0"/>
              </w:rPr>
              <w:t>中值</w:t>
            </w:r>
          </w:p>
        </w:tc>
        <w:tc>
          <w:tcPr>
            <w:tcW w:w="1067" w:type="dxa"/>
            <w:shd w:val="clear" w:color="auto" w:fill="auto"/>
            <w:vAlign w:val="center"/>
          </w:tcPr>
          <w:p>
            <w:pPr>
              <w:pStyle w:val="52"/>
              <w:jc w:val="center"/>
              <w:rPr>
                <w:kern w:val="0"/>
              </w:rPr>
            </w:pPr>
            <w:r>
              <w:rPr>
                <w:kern w:val="0"/>
              </w:rPr>
              <w:t>均值</w:t>
            </w:r>
          </w:p>
        </w:tc>
        <w:tc>
          <w:tcPr>
            <w:tcW w:w="1068"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67" w:type="dxa"/>
            <w:tcBorders>
              <w:left w:val="single" w:color="00B050" w:sz="8" w:space="0"/>
            </w:tcBorders>
            <w:vAlign w:val="center"/>
          </w:tcPr>
          <w:p>
            <w:pPr>
              <w:pStyle w:val="52"/>
              <w:jc w:val="center"/>
              <w:rPr>
                <w:kern w:val="0"/>
              </w:rPr>
            </w:pPr>
            <w:r>
              <w:rPr>
                <w:kern w:val="0"/>
              </w:rPr>
              <w:t>27</w:t>
            </w:r>
          </w:p>
        </w:tc>
        <w:tc>
          <w:tcPr>
            <w:tcW w:w="1067" w:type="dxa"/>
            <w:vAlign w:val="center"/>
          </w:tcPr>
          <w:p>
            <w:pPr>
              <w:pStyle w:val="52"/>
              <w:jc w:val="center"/>
              <w:rPr>
                <w:kern w:val="0"/>
              </w:rPr>
            </w:pPr>
            <w:r>
              <w:rPr>
                <w:kern w:val="0"/>
              </w:rPr>
              <w:t>500.00</w:t>
            </w:r>
          </w:p>
        </w:tc>
        <w:tc>
          <w:tcPr>
            <w:tcW w:w="1067" w:type="dxa"/>
            <w:shd w:val="clear" w:color="auto" w:fill="auto"/>
            <w:vAlign w:val="center"/>
          </w:tcPr>
          <w:p>
            <w:pPr>
              <w:pStyle w:val="52"/>
              <w:jc w:val="center"/>
              <w:rPr>
                <w:kern w:val="0"/>
              </w:rPr>
            </w:pPr>
            <w:r>
              <w:rPr>
                <w:kern w:val="0"/>
              </w:rPr>
              <w:t>1922.96</w:t>
            </w:r>
          </w:p>
        </w:tc>
        <w:tc>
          <w:tcPr>
            <w:tcW w:w="1068" w:type="dxa"/>
            <w:shd w:val="clear" w:color="auto" w:fill="auto"/>
            <w:vAlign w:val="center"/>
          </w:tcPr>
          <w:p>
            <w:pPr>
              <w:pStyle w:val="52"/>
              <w:jc w:val="center"/>
              <w:rPr>
                <w:kern w:val="0"/>
              </w:rPr>
            </w:pPr>
            <w:r>
              <w:rPr>
                <w:kern w:val="0"/>
              </w:rPr>
              <w:t>3123.67</w:t>
            </w:r>
          </w:p>
        </w:tc>
      </w:tr>
    </w:tbl>
    <w:p>
      <w:pPr>
        <w:pStyle w:val="70"/>
      </w:pPr>
      <w:r>
        <w:rPr>
          <w:rFonts w:hint="eastAsia"/>
        </w:rPr>
        <w:t>（2）不同专业研究生求职花费</w:t>
      </w:r>
    </w:p>
    <w:p>
      <w:pPr>
        <w:pStyle w:val="37"/>
        <w:ind w:firstLine="480"/>
      </w:pPr>
      <w:r>
        <w:rPr>
          <w:rFonts w:hint="eastAsia"/>
        </w:rPr>
        <w:t>就专业而言，方差检验显示，不同专业的研究生的求职花费不存在显著性差异（F=0.11，p&gt;0.05）。</w:t>
      </w:r>
    </w:p>
    <w:p>
      <w:pPr>
        <w:jc w:val="center"/>
      </w:pPr>
      <w:r>
        <w:rPr>
          <w:rFonts w:hint="eastAsia"/>
        </w:rPr>
        <w:drawing>
          <wp:inline distT="0" distB="0" distL="0" distR="0">
            <wp:extent cx="6124575" cy="3077210"/>
            <wp:effectExtent l="19050" t="0" r="9525" b="8890"/>
            <wp:docPr id="3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59"/>
        <w:spacing w:before="156" w:after="312"/>
      </w:pPr>
      <w:r>
        <w:rPr>
          <w:rFonts w:hint="eastAsia"/>
        </w:rPr>
        <w:t>不同专业研究生求职花费</w:t>
      </w:r>
    </w:p>
    <w:p>
      <w:pPr>
        <w:pStyle w:val="53"/>
        <w:spacing w:before="312" w:after="156"/>
      </w:pPr>
      <w:r>
        <w:rPr>
          <w:rFonts w:hint="eastAsia"/>
        </w:rPr>
        <w:t>研究生求职花费</w:t>
      </w:r>
    </w:p>
    <w:tbl>
      <w:tblPr>
        <w:tblStyle w:val="33"/>
        <w:tblW w:w="6291" w:type="dxa"/>
        <w:jc w:val="center"/>
        <w:tblInd w:w="0" w:type="dxa"/>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636"/>
        <w:gridCol w:w="1476"/>
        <w:gridCol w:w="426"/>
        <w:gridCol w:w="899"/>
        <w:gridCol w:w="899"/>
        <w:gridCol w:w="899"/>
        <w:gridCol w:w="1056"/>
      </w:tblGrid>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tcBorders>
              <w:left w:val="single" w:color="00B050" w:sz="8" w:space="0"/>
              <w:right w:val="dotted" w:color="00B050" w:sz="8" w:space="0"/>
            </w:tcBorders>
            <w:shd w:val="clear" w:color="auto" w:fill="auto"/>
            <w:vAlign w:val="center"/>
          </w:tcPr>
          <w:p>
            <w:pPr>
              <w:pStyle w:val="52"/>
              <w:ind w:firstLine="480"/>
              <w:rPr>
                <w:kern w:val="0"/>
              </w:rPr>
            </w:pPr>
          </w:p>
        </w:tc>
        <w:tc>
          <w:tcPr>
            <w:tcW w:w="1476" w:type="dxa"/>
            <w:tcBorders>
              <w:left w:val="dotted" w:color="00B050" w:sz="8" w:space="0"/>
            </w:tcBorders>
            <w:shd w:val="clear" w:color="auto" w:fill="auto"/>
            <w:vAlign w:val="center"/>
          </w:tcPr>
          <w:p>
            <w:pPr>
              <w:pStyle w:val="52"/>
              <w:jc w:val="left"/>
              <w:rPr>
                <w:kern w:val="0"/>
              </w:rPr>
            </w:pPr>
          </w:p>
        </w:tc>
        <w:tc>
          <w:tcPr>
            <w:tcW w:w="426" w:type="dxa"/>
            <w:shd w:val="clear" w:color="auto" w:fill="auto"/>
            <w:vAlign w:val="center"/>
          </w:tcPr>
          <w:p>
            <w:pPr>
              <w:pStyle w:val="52"/>
              <w:jc w:val="center"/>
              <w:rPr>
                <w:kern w:val="0"/>
              </w:rPr>
            </w:pPr>
            <w:r>
              <w:rPr>
                <w:rFonts w:eastAsia="MingLiU"/>
                <w:kern w:val="0"/>
              </w:rPr>
              <w:t>N</w:t>
            </w:r>
          </w:p>
        </w:tc>
        <w:tc>
          <w:tcPr>
            <w:tcW w:w="899" w:type="dxa"/>
            <w:shd w:val="clear" w:color="auto" w:fill="auto"/>
            <w:vAlign w:val="center"/>
          </w:tcPr>
          <w:p>
            <w:pPr>
              <w:pStyle w:val="52"/>
              <w:jc w:val="center"/>
              <w:rPr>
                <w:kern w:val="0"/>
              </w:rPr>
            </w:pPr>
            <w:r>
              <w:rPr>
                <w:rFonts w:hint="eastAsia"/>
                <w:kern w:val="0"/>
              </w:rPr>
              <w:t>均值</w:t>
            </w:r>
          </w:p>
        </w:tc>
        <w:tc>
          <w:tcPr>
            <w:tcW w:w="899" w:type="dxa"/>
            <w:shd w:val="clear" w:color="auto" w:fill="auto"/>
            <w:vAlign w:val="center"/>
          </w:tcPr>
          <w:p>
            <w:pPr>
              <w:pStyle w:val="52"/>
              <w:jc w:val="center"/>
              <w:rPr>
                <w:kern w:val="0"/>
              </w:rPr>
            </w:pPr>
            <w:r>
              <w:rPr>
                <w:rFonts w:hint="eastAsia"/>
                <w:kern w:val="0"/>
              </w:rPr>
              <w:t>标准差</w:t>
            </w:r>
          </w:p>
        </w:tc>
        <w:tc>
          <w:tcPr>
            <w:tcW w:w="899" w:type="dxa"/>
            <w:vAlign w:val="center"/>
          </w:tcPr>
          <w:p>
            <w:pPr>
              <w:pStyle w:val="52"/>
              <w:jc w:val="center"/>
              <w:rPr>
                <w:kern w:val="0"/>
              </w:rPr>
            </w:pPr>
            <w:r>
              <w:rPr>
                <w:rFonts w:hint="eastAsia"/>
                <w:kern w:val="0"/>
              </w:rPr>
              <w:t>中值</w:t>
            </w:r>
          </w:p>
        </w:tc>
        <w:tc>
          <w:tcPr>
            <w:tcW w:w="1056" w:type="dxa"/>
            <w:tcBorders>
              <w:right w:val="single" w:color="00B050" w:sz="8" w:space="0"/>
            </w:tcBorders>
            <w:shd w:val="clear" w:color="auto" w:fill="auto"/>
            <w:vAlign w:val="center"/>
          </w:tcPr>
          <w:p>
            <w:pPr>
              <w:pStyle w:val="52"/>
              <w:jc w:val="center"/>
              <w:rPr>
                <w:kern w:val="0"/>
              </w:rPr>
            </w:pPr>
            <w:r>
              <w:rPr>
                <w:rFonts w:hint="eastAsia"/>
                <w:kern w:val="0"/>
              </w:rPr>
              <w:t>方差检验</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restart"/>
            <w:tcBorders>
              <w:left w:val="single" w:color="00B050" w:sz="8" w:space="0"/>
            </w:tcBorders>
            <w:shd w:val="clear" w:color="auto" w:fill="auto"/>
            <w:vAlign w:val="center"/>
          </w:tcPr>
          <w:p>
            <w:pPr>
              <w:pStyle w:val="52"/>
              <w:jc w:val="center"/>
              <w:rPr>
                <w:rFonts w:asciiTheme="minorEastAsia" w:hAnsiTheme="minorEastAsia" w:eastAsiaTheme="minorEastAsia"/>
                <w:kern w:val="0"/>
              </w:rPr>
            </w:pPr>
            <w:r>
              <w:rPr>
                <w:rFonts w:hint="eastAsia" w:asciiTheme="minorEastAsia" w:hAnsiTheme="minorEastAsia" w:eastAsiaTheme="minorEastAsia"/>
                <w:kern w:val="0"/>
              </w:rPr>
              <w:t>专业</w:t>
            </w: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w:t>
            </w:r>
          </w:p>
        </w:tc>
        <w:tc>
          <w:tcPr>
            <w:tcW w:w="426" w:type="dxa"/>
            <w:shd w:val="clear" w:color="auto" w:fill="auto"/>
            <w:vAlign w:val="center"/>
          </w:tcPr>
          <w:p>
            <w:pPr>
              <w:pStyle w:val="52"/>
              <w:jc w:val="center"/>
              <w:rPr>
                <w:rFonts w:eastAsia="MingLiU"/>
                <w:kern w:val="0"/>
              </w:rPr>
            </w:pPr>
            <w:r>
              <w:rPr>
                <w:rFonts w:eastAsia="MingLiU"/>
                <w:kern w:val="0"/>
              </w:rPr>
              <w:t>10</w:t>
            </w:r>
          </w:p>
        </w:tc>
        <w:tc>
          <w:tcPr>
            <w:tcW w:w="899" w:type="dxa"/>
            <w:shd w:val="clear" w:color="auto" w:fill="auto"/>
            <w:vAlign w:val="center"/>
          </w:tcPr>
          <w:p>
            <w:pPr>
              <w:pStyle w:val="52"/>
              <w:jc w:val="center"/>
              <w:rPr>
                <w:kern w:val="0"/>
              </w:rPr>
            </w:pPr>
            <w:r>
              <w:rPr>
                <w:kern w:val="0"/>
              </w:rPr>
              <w:t>1831.00</w:t>
            </w:r>
          </w:p>
        </w:tc>
        <w:tc>
          <w:tcPr>
            <w:tcW w:w="899" w:type="dxa"/>
            <w:shd w:val="clear" w:color="auto" w:fill="auto"/>
            <w:vAlign w:val="center"/>
          </w:tcPr>
          <w:p>
            <w:pPr>
              <w:pStyle w:val="52"/>
              <w:jc w:val="center"/>
              <w:rPr>
                <w:kern w:val="0"/>
              </w:rPr>
            </w:pPr>
            <w:r>
              <w:rPr>
                <w:kern w:val="0"/>
              </w:rPr>
              <w:t>3230.14</w:t>
            </w:r>
          </w:p>
        </w:tc>
        <w:tc>
          <w:tcPr>
            <w:tcW w:w="899" w:type="dxa"/>
            <w:vAlign w:val="center"/>
          </w:tcPr>
          <w:p>
            <w:pPr>
              <w:pStyle w:val="52"/>
              <w:jc w:val="center"/>
              <w:rPr>
                <w:kern w:val="0"/>
              </w:rPr>
            </w:pPr>
            <w:r>
              <w:rPr>
                <w:kern w:val="0"/>
              </w:rPr>
              <w:t>400.00</w:t>
            </w:r>
          </w:p>
        </w:tc>
        <w:tc>
          <w:tcPr>
            <w:tcW w:w="1056" w:type="dxa"/>
            <w:vMerge w:val="restart"/>
            <w:tcBorders>
              <w:right w:val="single" w:color="00B050" w:sz="8" w:space="0"/>
            </w:tcBorders>
            <w:shd w:val="clear" w:color="auto" w:fill="auto"/>
            <w:vAlign w:val="center"/>
          </w:tcPr>
          <w:p>
            <w:pPr>
              <w:pStyle w:val="52"/>
              <w:jc w:val="center"/>
              <w:rPr>
                <w:kern w:val="0"/>
              </w:rPr>
            </w:pPr>
            <w:r>
              <w:rPr>
                <w:kern w:val="0"/>
              </w:rPr>
              <w:t>F=0.11</w:t>
            </w: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戏剧与影视学</w:t>
            </w:r>
          </w:p>
        </w:tc>
        <w:tc>
          <w:tcPr>
            <w:tcW w:w="426" w:type="dxa"/>
            <w:shd w:val="clear" w:color="auto" w:fill="auto"/>
            <w:vAlign w:val="center"/>
          </w:tcPr>
          <w:p>
            <w:pPr>
              <w:pStyle w:val="52"/>
              <w:jc w:val="center"/>
              <w:rPr>
                <w:rFonts w:eastAsia="MingLiU"/>
                <w:kern w:val="0"/>
              </w:rPr>
            </w:pPr>
            <w:r>
              <w:rPr>
                <w:rFonts w:eastAsia="MingLiU"/>
                <w:kern w:val="0"/>
              </w:rPr>
              <w:t>15</w:t>
            </w:r>
          </w:p>
        </w:tc>
        <w:tc>
          <w:tcPr>
            <w:tcW w:w="899" w:type="dxa"/>
            <w:shd w:val="clear" w:color="auto" w:fill="auto"/>
            <w:vAlign w:val="center"/>
          </w:tcPr>
          <w:p>
            <w:pPr>
              <w:pStyle w:val="52"/>
              <w:jc w:val="center"/>
              <w:rPr>
                <w:kern w:val="0"/>
              </w:rPr>
            </w:pPr>
            <w:r>
              <w:rPr>
                <w:kern w:val="0"/>
              </w:rPr>
              <w:t>2107.33</w:t>
            </w:r>
          </w:p>
        </w:tc>
        <w:tc>
          <w:tcPr>
            <w:tcW w:w="899" w:type="dxa"/>
            <w:shd w:val="clear" w:color="auto" w:fill="auto"/>
            <w:vAlign w:val="center"/>
          </w:tcPr>
          <w:p>
            <w:pPr>
              <w:pStyle w:val="52"/>
              <w:jc w:val="center"/>
              <w:rPr>
                <w:kern w:val="0"/>
              </w:rPr>
            </w:pPr>
            <w:r>
              <w:rPr>
                <w:kern w:val="0"/>
              </w:rPr>
              <w:t>3353.97</w:t>
            </w:r>
          </w:p>
        </w:tc>
        <w:tc>
          <w:tcPr>
            <w:tcW w:w="899" w:type="dxa"/>
            <w:vAlign w:val="center"/>
          </w:tcPr>
          <w:p>
            <w:pPr>
              <w:pStyle w:val="52"/>
              <w:jc w:val="center"/>
              <w:rPr>
                <w:kern w:val="0"/>
              </w:rPr>
            </w:pPr>
            <w:r>
              <w:rPr>
                <w:kern w:val="0"/>
              </w:rPr>
              <w:t>500.00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636" w:type="dxa"/>
            <w:vMerge w:val="continue"/>
            <w:tcBorders>
              <w:left w:val="single" w:color="00B050" w:sz="8" w:space="0"/>
            </w:tcBorders>
            <w:shd w:val="clear" w:color="auto" w:fill="auto"/>
            <w:vAlign w:val="center"/>
          </w:tcPr>
          <w:p>
            <w:pPr>
              <w:pStyle w:val="52"/>
              <w:jc w:val="center"/>
              <w:rPr>
                <w:rFonts w:asciiTheme="minorEastAsia" w:hAnsiTheme="minorEastAsia" w:eastAsiaTheme="minorEastAsia"/>
                <w:kern w:val="0"/>
              </w:rPr>
            </w:pPr>
          </w:p>
        </w:tc>
        <w:tc>
          <w:tcPr>
            <w:tcW w:w="1476" w:type="dxa"/>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艺术学理论</w:t>
            </w:r>
          </w:p>
        </w:tc>
        <w:tc>
          <w:tcPr>
            <w:tcW w:w="426" w:type="dxa"/>
            <w:shd w:val="clear" w:color="auto" w:fill="auto"/>
            <w:vAlign w:val="center"/>
          </w:tcPr>
          <w:p>
            <w:pPr>
              <w:pStyle w:val="52"/>
              <w:jc w:val="center"/>
              <w:rPr>
                <w:rFonts w:eastAsia="MingLiU"/>
                <w:kern w:val="0"/>
              </w:rPr>
            </w:pPr>
            <w:r>
              <w:rPr>
                <w:rFonts w:eastAsia="MingLiU"/>
                <w:kern w:val="0"/>
              </w:rPr>
              <w:t>2</w:t>
            </w:r>
          </w:p>
        </w:tc>
        <w:tc>
          <w:tcPr>
            <w:tcW w:w="899" w:type="dxa"/>
            <w:shd w:val="clear" w:color="auto" w:fill="auto"/>
            <w:vAlign w:val="center"/>
          </w:tcPr>
          <w:p>
            <w:pPr>
              <w:pStyle w:val="52"/>
              <w:jc w:val="center"/>
              <w:rPr>
                <w:kern w:val="0"/>
              </w:rPr>
            </w:pPr>
            <w:r>
              <w:rPr>
                <w:kern w:val="0"/>
              </w:rPr>
              <w:t>1000.00</w:t>
            </w:r>
          </w:p>
        </w:tc>
        <w:tc>
          <w:tcPr>
            <w:tcW w:w="899" w:type="dxa"/>
            <w:shd w:val="clear" w:color="auto" w:fill="auto"/>
            <w:vAlign w:val="center"/>
          </w:tcPr>
          <w:p>
            <w:pPr>
              <w:pStyle w:val="52"/>
              <w:jc w:val="center"/>
              <w:rPr>
                <w:kern w:val="0"/>
              </w:rPr>
            </w:pPr>
            <w:r>
              <w:rPr>
                <w:kern w:val="0"/>
              </w:rPr>
              <w:t>0.00</w:t>
            </w:r>
          </w:p>
        </w:tc>
        <w:tc>
          <w:tcPr>
            <w:tcW w:w="899" w:type="dxa"/>
            <w:vAlign w:val="center"/>
          </w:tcPr>
          <w:p>
            <w:pPr>
              <w:pStyle w:val="52"/>
              <w:jc w:val="center"/>
              <w:rPr>
                <w:kern w:val="0"/>
              </w:rPr>
            </w:pPr>
            <w:r>
              <w:rPr>
                <w:kern w:val="0"/>
              </w:rPr>
              <w:t>1000.00</w:t>
            </w:r>
          </w:p>
        </w:tc>
        <w:tc>
          <w:tcPr>
            <w:tcW w:w="1056" w:type="dxa"/>
            <w:vMerge w:val="continue"/>
            <w:tcBorders>
              <w:right w:val="single" w:color="00B050" w:sz="8" w:space="0"/>
            </w:tcBorders>
            <w:shd w:val="clear" w:color="auto" w:fill="auto"/>
            <w:vAlign w:val="center"/>
          </w:tcPr>
          <w:p>
            <w:pPr>
              <w:pStyle w:val="52"/>
              <w:jc w:val="center"/>
              <w:rPr>
                <w:kern w:val="0"/>
              </w:rPr>
            </w:pPr>
          </w:p>
        </w:tc>
      </w:tr>
      <w:tr>
        <w:tblPrEx>
          <w:tblBorders>
            <w:top w:val="single" w:color="00B050" w:sz="8" w:space="0"/>
            <w:left w:val="dotted" w:color="00B050" w:sz="8" w:space="0"/>
            <w:bottom w:val="single" w:color="00B050" w:sz="8" w:space="0"/>
            <w:right w:val="dotted"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300" w:hRule="atLeast"/>
          <w:jc w:val="center"/>
        </w:trPr>
        <w:tc>
          <w:tcPr>
            <w:tcW w:w="2112" w:type="dxa"/>
            <w:gridSpan w:val="2"/>
            <w:tcBorders>
              <w:left w:val="single" w:color="00B050" w:sz="8" w:space="0"/>
            </w:tcBorders>
            <w:shd w:val="clear" w:color="auto" w:fill="auto"/>
            <w:vAlign w:val="center"/>
          </w:tcPr>
          <w:p>
            <w:pPr>
              <w:pStyle w:val="52"/>
              <w:rPr>
                <w:rFonts w:asciiTheme="minorEastAsia" w:hAnsiTheme="minorEastAsia" w:eastAsiaTheme="minorEastAsia"/>
                <w:kern w:val="0"/>
              </w:rPr>
            </w:pPr>
            <w:r>
              <w:rPr>
                <w:rFonts w:hint="eastAsia" w:asciiTheme="minorEastAsia" w:hAnsiTheme="minorEastAsia" w:eastAsiaTheme="minorEastAsia"/>
                <w:kern w:val="0"/>
              </w:rPr>
              <w:t>总体</w:t>
            </w:r>
          </w:p>
        </w:tc>
        <w:tc>
          <w:tcPr>
            <w:tcW w:w="426" w:type="dxa"/>
            <w:shd w:val="clear" w:color="auto" w:fill="auto"/>
            <w:vAlign w:val="center"/>
          </w:tcPr>
          <w:p>
            <w:pPr>
              <w:pStyle w:val="52"/>
              <w:jc w:val="center"/>
              <w:rPr>
                <w:rFonts w:eastAsia="MingLiU"/>
                <w:kern w:val="0"/>
              </w:rPr>
            </w:pPr>
            <w:r>
              <w:rPr>
                <w:rFonts w:eastAsia="MingLiU"/>
                <w:kern w:val="0"/>
              </w:rPr>
              <w:t>27</w:t>
            </w:r>
          </w:p>
        </w:tc>
        <w:tc>
          <w:tcPr>
            <w:tcW w:w="899" w:type="dxa"/>
            <w:shd w:val="clear" w:color="auto" w:fill="auto"/>
            <w:vAlign w:val="center"/>
          </w:tcPr>
          <w:p>
            <w:pPr>
              <w:pStyle w:val="52"/>
              <w:jc w:val="center"/>
              <w:rPr>
                <w:kern w:val="0"/>
              </w:rPr>
            </w:pPr>
            <w:r>
              <w:rPr>
                <w:kern w:val="0"/>
              </w:rPr>
              <w:t>1922.96</w:t>
            </w:r>
          </w:p>
        </w:tc>
        <w:tc>
          <w:tcPr>
            <w:tcW w:w="899" w:type="dxa"/>
            <w:shd w:val="clear" w:color="auto" w:fill="auto"/>
            <w:vAlign w:val="center"/>
          </w:tcPr>
          <w:p>
            <w:pPr>
              <w:pStyle w:val="52"/>
              <w:jc w:val="center"/>
              <w:rPr>
                <w:kern w:val="0"/>
              </w:rPr>
            </w:pPr>
            <w:r>
              <w:rPr>
                <w:kern w:val="0"/>
              </w:rPr>
              <w:t>3123.67</w:t>
            </w:r>
          </w:p>
        </w:tc>
        <w:tc>
          <w:tcPr>
            <w:tcW w:w="899" w:type="dxa"/>
            <w:vAlign w:val="center"/>
          </w:tcPr>
          <w:p>
            <w:pPr>
              <w:pStyle w:val="52"/>
              <w:jc w:val="center"/>
              <w:rPr>
                <w:kern w:val="0"/>
              </w:rPr>
            </w:pPr>
            <w:r>
              <w:rPr>
                <w:kern w:val="0"/>
              </w:rPr>
              <w:t>500.00</w:t>
            </w:r>
          </w:p>
        </w:tc>
        <w:tc>
          <w:tcPr>
            <w:tcW w:w="1056" w:type="dxa"/>
            <w:tcBorders>
              <w:right w:val="single" w:color="00B050" w:sz="8" w:space="0"/>
            </w:tcBorders>
            <w:shd w:val="clear" w:color="auto" w:fill="auto"/>
            <w:vAlign w:val="center"/>
          </w:tcPr>
          <w:p>
            <w:pPr>
              <w:pStyle w:val="52"/>
              <w:jc w:val="center"/>
              <w:rPr>
                <w:kern w:val="0"/>
              </w:rPr>
            </w:pPr>
          </w:p>
        </w:tc>
      </w:tr>
    </w:tbl>
    <w:p/>
    <w:p>
      <w:pPr>
        <w:pStyle w:val="67"/>
      </w:pPr>
      <w:bookmarkStart w:id="228" w:name="_Toc470167436"/>
      <w:r>
        <w:rPr>
          <w:rFonts w:hint="eastAsia"/>
        </w:rPr>
        <w:t>5、求职渠道</w:t>
      </w:r>
      <w:bookmarkEnd w:id="228"/>
    </w:p>
    <w:p>
      <w:pPr>
        <w:pStyle w:val="37"/>
        <w:ind w:firstLine="480"/>
      </w:pPr>
      <w:bookmarkStart w:id="229" w:name="PO_3435"/>
      <w:bookmarkEnd w:id="229"/>
      <w:r>
        <w:rPr>
          <w:rFonts w:hint="eastAsia"/>
        </w:rPr>
        <w:t>本题为多选题，结果显示，研究生最主要采用的三种求职渠道为学校发布的招聘信息、老师推荐、学校组织的招聘会。总体来说，通过学校资源求职成功的比例达到所有渠道的81.6%。</w:t>
      </w:r>
    </w:p>
    <w:p>
      <w:pPr>
        <w:jc w:val="center"/>
      </w:pPr>
      <w:r>
        <w:rPr>
          <w:rFonts w:hint="eastAsia"/>
        </w:rPr>
        <w:drawing>
          <wp:inline distT="0" distB="0" distL="0" distR="0">
            <wp:extent cx="6076950" cy="3077210"/>
            <wp:effectExtent l="0" t="0" r="0" b="0"/>
            <wp:docPr id="3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59"/>
        <w:spacing w:before="156" w:after="312"/>
      </w:pPr>
      <w:r>
        <w:rPr>
          <w:rFonts w:hint="eastAsia"/>
        </w:rPr>
        <w:t>研究生求职渠道</w:t>
      </w:r>
    </w:p>
    <w:p>
      <w:pPr>
        <w:pStyle w:val="53"/>
        <w:spacing w:before="312" w:after="156"/>
      </w:pPr>
      <w:r>
        <w:rPr>
          <w:rFonts w:hint="eastAsia"/>
        </w:rPr>
        <w:t>研究生求职渠道</w:t>
      </w:r>
    </w:p>
    <w:tbl>
      <w:tblPr>
        <w:tblStyle w:val="33"/>
        <w:tblW w:w="3116"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2106"/>
        <w:gridCol w:w="426"/>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2106" w:type="dxa"/>
            <w:shd w:val="clear" w:color="auto" w:fill="auto"/>
            <w:vAlign w:val="center"/>
          </w:tcPr>
          <w:p>
            <w:pPr>
              <w:pStyle w:val="52"/>
              <w:ind w:firstLine="480"/>
              <w:jc w:val="center"/>
              <w:rPr>
                <w:kern w:val="0"/>
              </w:rPr>
            </w:pPr>
          </w:p>
        </w:tc>
        <w:tc>
          <w:tcPr>
            <w:tcW w:w="426"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学校组织的招聘会</w:t>
            </w:r>
          </w:p>
        </w:tc>
        <w:tc>
          <w:tcPr>
            <w:tcW w:w="426" w:type="dxa"/>
            <w:shd w:val="clear" w:color="auto" w:fill="auto"/>
            <w:vAlign w:val="center"/>
          </w:tcPr>
          <w:p>
            <w:pPr>
              <w:pStyle w:val="52"/>
              <w:jc w:val="center"/>
              <w:rPr>
                <w:kern w:val="0"/>
              </w:rPr>
            </w:pPr>
            <w:r>
              <w:rPr>
                <w:kern w:val="0"/>
              </w:rPr>
              <w:t>11</w:t>
            </w:r>
          </w:p>
        </w:tc>
        <w:tc>
          <w:tcPr>
            <w:tcW w:w="584" w:type="dxa"/>
            <w:shd w:val="clear" w:color="auto" w:fill="auto"/>
            <w:vAlign w:val="center"/>
          </w:tcPr>
          <w:p>
            <w:pPr>
              <w:pStyle w:val="52"/>
              <w:jc w:val="center"/>
              <w:rPr>
                <w:kern w:val="0"/>
              </w:rPr>
            </w:pPr>
            <w:r>
              <w:rPr>
                <w:kern w:val="0"/>
              </w:rPr>
              <w:t>39.3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学校发布的招聘信息</w:t>
            </w:r>
          </w:p>
        </w:tc>
        <w:tc>
          <w:tcPr>
            <w:tcW w:w="426" w:type="dxa"/>
            <w:shd w:val="clear" w:color="auto" w:fill="auto"/>
            <w:vAlign w:val="center"/>
          </w:tcPr>
          <w:p>
            <w:pPr>
              <w:pStyle w:val="52"/>
              <w:jc w:val="center"/>
              <w:rPr>
                <w:kern w:val="0"/>
              </w:rPr>
            </w:pPr>
            <w:r>
              <w:rPr>
                <w:kern w:val="0"/>
              </w:rPr>
              <w:t>20</w:t>
            </w:r>
          </w:p>
        </w:tc>
        <w:tc>
          <w:tcPr>
            <w:tcW w:w="584" w:type="dxa"/>
            <w:shd w:val="clear" w:color="auto" w:fill="auto"/>
            <w:vAlign w:val="center"/>
          </w:tcPr>
          <w:p>
            <w:pPr>
              <w:pStyle w:val="52"/>
              <w:jc w:val="center"/>
              <w:rPr>
                <w:kern w:val="0"/>
              </w:rPr>
            </w:pPr>
            <w:r>
              <w:rPr>
                <w:kern w:val="0"/>
              </w:rPr>
              <w:t>71.4</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院系发布的招聘信息</w:t>
            </w:r>
          </w:p>
        </w:tc>
        <w:tc>
          <w:tcPr>
            <w:tcW w:w="426" w:type="dxa"/>
            <w:shd w:val="clear" w:color="auto" w:fill="auto"/>
            <w:vAlign w:val="center"/>
          </w:tcPr>
          <w:p>
            <w:pPr>
              <w:pStyle w:val="52"/>
              <w:jc w:val="center"/>
              <w:rPr>
                <w:kern w:val="0"/>
              </w:rPr>
            </w:pPr>
            <w:r>
              <w:rPr>
                <w:kern w:val="0"/>
              </w:rPr>
              <w:t>9</w:t>
            </w:r>
          </w:p>
        </w:tc>
        <w:tc>
          <w:tcPr>
            <w:tcW w:w="584" w:type="dxa"/>
            <w:shd w:val="clear" w:color="auto" w:fill="auto"/>
            <w:vAlign w:val="center"/>
          </w:tcPr>
          <w:p>
            <w:pPr>
              <w:pStyle w:val="52"/>
              <w:jc w:val="center"/>
              <w:rPr>
                <w:kern w:val="0"/>
              </w:rPr>
            </w:pPr>
            <w:r>
              <w:rPr>
                <w:kern w:val="0"/>
              </w:rPr>
              <w:t>32.1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老师推荐</w:t>
            </w:r>
          </w:p>
        </w:tc>
        <w:tc>
          <w:tcPr>
            <w:tcW w:w="426" w:type="dxa"/>
            <w:shd w:val="clear" w:color="auto" w:fill="auto"/>
            <w:vAlign w:val="center"/>
          </w:tcPr>
          <w:p>
            <w:pPr>
              <w:pStyle w:val="52"/>
              <w:jc w:val="center"/>
              <w:rPr>
                <w:kern w:val="0"/>
              </w:rPr>
            </w:pPr>
            <w:r>
              <w:rPr>
                <w:kern w:val="0"/>
              </w:rPr>
              <w:t>12</w:t>
            </w:r>
          </w:p>
        </w:tc>
        <w:tc>
          <w:tcPr>
            <w:tcW w:w="584" w:type="dxa"/>
            <w:shd w:val="clear" w:color="auto" w:fill="auto"/>
            <w:vAlign w:val="center"/>
          </w:tcPr>
          <w:p>
            <w:pPr>
              <w:pStyle w:val="52"/>
              <w:jc w:val="center"/>
              <w:rPr>
                <w:kern w:val="0"/>
              </w:rPr>
            </w:pPr>
            <w:r>
              <w:rPr>
                <w:kern w:val="0"/>
              </w:rPr>
              <w:t>42.9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2106" w:type="dxa"/>
            <w:shd w:val="clear" w:color="auto" w:fill="auto"/>
            <w:vAlign w:val="center"/>
          </w:tcPr>
          <w:p>
            <w:pPr>
              <w:pStyle w:val="52"/>
              <w:rPr>
                <w:kern w:val="0"/>
              </w:rPr>
            </w:pPr>
            <w:r>
              <w:rPr>
                <w:rFonts w:hint="eastAsia"/>
                <w:kern w:val="0"/>
              </w:rPr>
              <w:t>校友资源</w:t>
            </w:r>
          </w:p>
        </w:tc>
        <w:tc>
          <w:tcPr>
            <w:tcW w:w="426" w:type="dxa"/>
            <w:shd w:val="clear" w:color="auto" w:fill="auto"/>
            <w:vAlign w:val="center"/>
          </w:tcPr>
          <w:p>
            <w:pPr>
              <w:pStyle w:val="52"/>
              <w:jc w:val="center"/>
              <w:rPr>
                <w:kern w:val="0"/>
              </w:rPr>
            </w:pPr>
            <w:r>
              <w:rPr>
                <w:kern w:val="0"/>
              </w:rPr>
              <w:t>10</w:t>
            </w:r>
          </w:p>
        </w:tc>
        <w:tc>
          <w:tcPr>
            <w:tcW w:w="584" w:type="dxa"/>
            <w:shd w:val="clear" w:color="auto" w:fill="auto"/>
            <w:vAlign w:val="center"/>
          </w:tcPr>
          <w:p>
            <w:pPr>
              <w:pStyle w:val="52"/>
              <w:jc w:val="center"/>
              <w:rPr>
                <w:kern w:val="0"/>
              </w:rPr>
            </w:pPr>
            <w:r>
              <w:rPr>
                <w:kern w:val="0"/>
              </w:rPr>
              <w:t>35.7</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政府渠道</w:t>
            </w:r>
          </w:p>
        </w:tc>
        <w:tc>
          <w:tcPr>
            <w:tcW w:w="426"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7.1</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社会渠道</w:t>
            </w:r>
          </w:p>
        </w:tc>
        <w:tc>
          <w:tcPr>
            <w:tcW w:w="426"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14.3</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用人单位自设渠道</w:t>
            </w:r>
          </w:p>
        </w:tc>
        <w:tc>
          <w:tcPr>
            <w:tcW w:w="426" w:type="dxa"/>
            <w:shd w:val="clear" w:color="auto" w:fill="auto"/>
            <w:vAlign w:val="center"/>
          </w:tcPr>
          <w:p>
            <w:pPr>
              <w:pStyle w:val="52"/>
              <w:jc w:val="center"/>
              <w:rPr>
                <w:kern w:val="0"/>
              </w:rPr>
            </w:pPr>
            <w:r>
              <w:rPr>
                <w:kern w:val="0"/>
              </w:rPr>
              <w:t>5</w:t>
            </w:r>
          </w:p>
        </w:tc>
        <w:tc>
          <w:tcPr>
            <w:tcW w:w="584" w:type="dxa"/>
            <w:shd w:val="clear" w:color="auto" w:fill="auto"/>
            <w:vAlign w:val="center"/>
          </w:tcPr>
          <w:p>
            <w:pPr>
              <w:pStyle w:val="52"/>
              <w:jc w:val="center"/>
              <w:rPr>
                <w:kern w:val="0"/>
              </w:rPr>
            </w:pPr>
            <w:r>
              <w:rPr>
                <w:kern w:val="0"/>
              </w:rPr>
              <w:t>17.9</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2106" w:type="dxa"/>
            <w:shd w:val="clear" w:color="auto" w:fill="auto"/>
            <w:vAlign w:val="center"/>
          </w:tcPr>
          <w:p>
            <w:pPr>
              <w:pStyle w:val="52"/>
              <w:rPr>
                <w:kern w:val="0"/>
              </w:rPr>
            </w:pPr>
            <w:r>
              <w:rPr>
                <w:rFonts w:hint="eastAsia"/>
                <w:kern w:val="0"/>
              </w:rPr>
              <w:t>亲友渠道</w:t>
            </w:r>
          </w:p>
        </w:tc>
        <w:tc>
          <w:tcPr>
            <w:tcW w:w="426"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10.7</w:t>
            </w:r>
          </w:p>
        </w:tc>
      </w:tr>
    </w:tbl>
    <w:p>
      <w:pPr>
        <w:pStyle w:val="52"/>
        <w:ind w:firstLine="480"/>
      </w:pPr>
    </w:p>
    <w:p>
      <w:pPr>
        <w:pStyle w:val="52"/>
        <w:sectPr>
          <w:pgSz w:w="11906" w:h="16838"/>
          <w:pgMar w:top="1418" w:right="1134" w:bottom="1418" w:left="1134" w:header="851" w:footer="857" w:gutter="0"/>
          <w:cols w:space="425" w:num="1"/>
          <w:docGrid w:type="lines" w:linePitch="312" w:charSpace="0"/>
        </w:sectPr>
      </w:pPr>
    </w:p>
    <w:p>
      <w:pPr>
        <w:pStyle w:val="40"/>
        <w:spacing w:before="624" w:after="936"/>
        <w:rPr>
          <w:rFonts w:ascii="Times New Roman" w:hAnsi="Times New Roman"/>
        </w:rPr>
      </w:pPr>
      <w:bookmarkStart w:id="230" w:name="_Toc406677092"/>
      <w:r>
        <w:rPr>
          <w:rFonts w:ascii="Times New Roman" w:hAnsi="Times New Roman"/>
        </w:rPr>
        <w:pict>
          <v:rect id="矩形 122" o:spid="_x0000_s1030" o:spt="1" style="position:absolute;left:0pt;margin-left:-2.3pt;margin-top:65.2pt;height:4.5pt;width:481.5pt;z-index:251662336;mso-width-relative:page;mso-height-relative:page;" fillcolor="#E36C0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">
            <v:path/>
            <v:fill type="gradient" on="t" color2="#E7822F" opacity="0f" angle="90" focus="100%" focussize="0f,0f" rotate="t"/>
            <v:stroke on="f"/>
            <v:imagedata o:title=""/>
            <o:lock v:ext="edit"/>
          </v:rect>
        </w:pict>
      </w:r>
      <w:bookmarkStart w:id="231" w:name="_Toc470167437"/>
      <w:r>
        <w:rPr>
          <w:rFonts w:hint="eastAsia" w:ascii="Times New Roman" w:hAnsi="Times New Roman"/>
        </w:rPr>
        <w:t>第</w:t>
      </w:r>
      <w:r>
        <w:rPr>
          <w:rFonts w:ascii="Times New Roman" w:hAnsi="Times New Roman"/>
        </w:rPr>
        <w:t>四章　用人单位调查数据分析</w:t>
      </w:r>
      <w:bookmarkEnd w:id="230"/>
      <w:bookmarkEnd w:id="231"/>
    </w:p>
    <w:p>
      <w:pPr>
        <w:pStyle w:val="37"/>
        <w:ind w:firstLine="480"/>
      </w:pPr>
      <w:r>
        <w:rPr>
          <w:rFonts w:hint="eastAsia"/>
        </w:rPr>
        <w:t>本章数据来源于2016年10月进行的本校2016届毕业生用人单位调查。本次调查问卷“北京地区高校毕业生培养质量、就业服务及社会需求调查问卷”共有25道题，包括用人单位基本情况、社会需求情况、培养质量反馈、就业服务反馈四个部分。</w:t>
      </w:r>
    </w:p>
    <w:p>
      <w:pPr>
        <w:spacing w:line="360" w:lineRule="auto"/>
        <w:ind w:firstLine="420"/>
        <w:rPr>
          <w:rFonts w:cs="Times New Roman" w:asciiTheme="minorEastAsia" w:hAnsiTheme="minorEastAsia"/>
          <w:color w:val="000000" w:themeColor="text1"/>
          <w:sz w:val="24"/>
          <w:szCs w:val="24"/>
        </w:rPr>
      </w:pPr>
      <w:r>
        <w:rPr>
          <w:rFonts w:cs="Times New Roman" w:asciiTheme="minorEastAsia" w:hAnsiTheme="minorEastAsia"/>
          <w:color w:val="000000" w:themeColor="text1"/>
          <w:sz w:val="24"/>
          <w:szCs w:val="24"/>
        </w:rPr>
        <w:t>本调查采用网络问卷和现场填答两种方式</w:t>
      </w:r>
      <w:r>
        <w:rPr>
          <w:rFonts w:hint="eastAsia" w:cs="Times New Roman" w:asciiTheme="minorEastAsia" w:hAnsiTheme="minorEastAsia"/>
          <w:color w:val="000000" w:themeColor="text1"/>
          <w:sz w:val="24"/>
          <w:szCs w:val="24"/>
        </w:rPr>
        <w:t>，</w:t>
      </w:r>
      <w:r>
        <w:rPr>
          <w:rFonts w:cs="Times New Roman" w:asciiTheme="minorEastAsia" w:hAnsiTheme="minorEastAsia"/>
          <w:color w:val="000000" w:themeColor="text1"/>
          <w:sz w:val="24"/>
          <w:szCs w:val="24"/>
        </w:rPr>
        <w:t>调查对象为招收本校毕业生的用人单位</w:t>
      </w:r>
      <w:r>
        <w:rPr>
          <w:rFonts w:hint="eastAsia" w:cs="Times New Roman" w:asciiTheme="minorEastAsia" w:hAnsiTheme="minorEastAsia"/>
          <w:color w:val="000000" w:themeColor="text1"/>
          <w:sz w:val="24"/>
          <w:szCs w:val="24"/>
        </w:rPr>
        <w:t>。</w:t>
      </w:r>
      <w:r>
        <w:rPr>
          <w:rFonts w:cs="Times New Roman" w:asciiTheme="minorEastAsia" w:hAnsiTheme="minorEastAsia"/>
          <w:color w:val="000000" w:themeColor="text1"/>
          <w:sz w:val="24"/>
          <w:szCs w:val="24"/>
        </w:rPr>
        <w:t>在对重复数据</w:t>
      </w:r>
      <w:r>
        <w:rPr>
          <w:rFonts w:hint="eastAsia" w:cs="Times New Roman" w:asciiTheme="minorEastAsia" w:hAnsiTheme="minorEastAsia"/>
          <w:color w:val="000000" w:themeColor="text1"/>
          <w:sz w:val="24"/>
          <w:szCs w:val="24"/>
        </w:rPr>
        <w:t>、</w:t>
      </w:r>
      <w:r>
        <w:rPr>
          <w:rFonts w:cs="Times New Roman" w:asciiTheme="minorEastAsia" w:hAnsiTheme="minorEastAsia"/>
          <w:color w:val="000000" w:themeColor="text1"/>
          <w:sz w:val="24"/>
          <w:szCs w:val="24"/>
        </w:rPr>
        <w:t>缺失数据等进行细致全面的清理后</w:t>
      </w:r>
      <w:r>
        <w:rPr>
          <w:rFonts w:hint="eastAsia" w:cs="Times New Roman" w:asciiTheme="minorEastAsia" w:hAnsiTheme="minorEastAsia"/>
          <w:color w:val="000000" w:themeColor="text1"/>
          <w:sz w:val="24"/>
          <w:szCs w:val="24"/>
        </w:rPr>
        <w:t>，</w:t>
      </w:r>
      <w:r>
        <w:rPr>
          <w:rFonts w:cs="Times New Roman" w:asciiTheme="minorEastAsia" w:hAnsiTheme="minorEastAsia"/>
          <w:color w:val="000000" w:themeColor="text1"/>
          <w:sz w:val="24"/>
          <w:szCs w:val="24"/>
        </w:rPr>
        <w:t>去除无效问卷</w:t>
      </w:r>
      <w:r>
        <w:rPr>
          <w:rFonts w:hint="eastAsia" w:cs="Times New Roman" w:asciiTheme="minorEastAsia" w:hAnsiTheme="minorEastAsia"/>
          <w:color w:val="000000" w:themeColor="text1"/>
          <w:sz w:val="24"/>
          <w:szCs w:val="24"/>
        </w:rPr>
        <w:t>，</w:t>
      </w:r>
      <w:r>
        <w:rPr>
          <w:rFonts w:cs="Times New Roman" w:asciiTheme="minorEastAsia" w:hAnsiTheme="minorEastAsia"/>
          <w:color w:val="000000" w:themeColor="text1"/>
          <w:sz w:val="24"/>
          <w:szCs w:val="24"/>
        </w:rPr>
        <w:t>最终有效问卷为5</w:t>
      </w:r>
      <w:r>
        <w:rPr>
          <w:rFonts w:hint="eastAsia" w:cs="Times New Roman" w:asciiTheme="minorEastAsia" w:hAnsiTheme="minorEastAsia"/>
          <w:color w:val="000000" w:themeColor="text1"/>
          <w:sz w:val="24"/>
          <w:szCs w:val="24"/>
        </w:rPr>
        <w:t>份。</w:t>
      </w:r>
    </w:p>
    <w:p>
      <w:pPr>
        <w:pStyle w:val="43"/>
        <w:spacing w:before="312" w:after="156"/>
      </w:pPr>
      <w:bookmarkStart w:id="232" w:name="_Toc470167438"/>
      <w:r>
        <w:t>一、</w:t>
      </w:r>
      <w:r>
        <w:rPr>
          <w:rFonts w:hint="eastAsia"/>
        </w:rPr>
        <w:t>用人单位调查样本特征</w:t>
      </w:r>
      <w:bookmarkEnd w:id="232"/>
    </w:p>
    <w:p>
      <w:pPr>
        <w:pStyle w:val="37"/>
        <w:ind w:firstLine="480"/>
      </w:pPr>
      <w:bookmarkStart w:id="233" w:name="PO_41"/>
      <w:bookmarkEnd w:id="233"/>
      <w:r>
        <w:rPr>
          <w:rFonts w:hint="eastAsia"/>
        </w:rPr>
        <w:t>调查单位在单位所在地、单位性质、单位行业、单位人员规模方面的分布如下表所示。就单位所在地而言，京外地区所占的比例最高（60.0%）；就单位性质而言，事业单位所占的比例最高（40.0%）；就单位行业而言，教育及科研行业所占的比例最高（40.0%）；就单位人员规模而言，1000人以上所占的比例最高（40.0%）。</w:t>
      </w:r>
    </w:p>
    <w:p>
      <w:pPr>
        <w:pStyle w:val="53"/>
        <w:spacing w:before="312" w:after="156"/>
      </w:pPr>
      <w:r>
        <w:rPr>
          <w:rFonts w:hint="eastAsia"/>
        </w:rPr>
        <w:t>样本特征</w:t>
      </w:r>
    </w:p>
    <w:tbl>
      <w:tblPr>
        <w:tblStyle w:val="33"/>
        <w:tblW w:w="4534"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476"/>
        <w:gridCol w:w="210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476" w:type="dxa"/>
            <w:tcBorders>
              <w:bottom w:val="single" w:color="00B050" w:sz="8" w:space="0"/>
              <w:right w:val="dotted" w:color="00B050" w:sz="8" w:space="0"/>
            </w:tcBorders>
            <w:shd w:val="clear" w:color="auto" w:fill="auto"/>
            <w:vAlign w:val="center"/>
          </w:tcPr>
          <w:p>
            <w:pPr>
              <w:pStyle w:val="52"/>
              <w:jc w:val="center"/>
              <w:rPr>
                <w:kern w:val="0"/>
              </w:rPr>
            </w:pPr>
          </w:p>
        </w:tc>
        <w:tc>
          <w:tcPr>
            <w:tcW w:w="2106" w:type="dxa"/>
            <w:tcBorders>
              <w:left w:val="dotted" w:color="00B050" w:sz="8" w:space="0"/>
              <w:bottom w:val="single" w:color="00B050" w:sz="8" w:space="0"/>
            </w:tcBorders>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restart"/>
            <w:tcBorders>
              <w:top w:val="single" w:color="00B050" w:sz="8" w:space="0"/>
            </w:tcBorders>
            <w:shd w:val="clear" w:color="auto" w:fill="auto"/>
            <w:vAlign w:val="center"/>
          </w:tcPr>
          <w:p>
            <w:pPr>
              <w:pStyle w:val="52"/>
              <w:jc w:val="center"/>
              <w:rPr>
                <w:kern w:val="0"/>
              </w:rPr>
            </w:pPr>
            <w:r>
              <w:rPr>
                <w:rFonts w:hint="eastAsia"/>
                <w:kern w:val="0"/>
              </w:rPr>
              <w:t>单位所在地</w:t>
            </w: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北京地区</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京外地区</w:t>
            </w:r>
          </w:p>
        </w:tc>
        <w:tc>
          <w:tcPr>
            <w:tcW w:w="368"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60.0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restart"/>
            <w:shd w:val="clear" w:color="auto" w:fill="auto"/>
            <w:vAlign w:val="center"/>
          </w:tcPr>
          <w:p>
            <w:pPr>
              <w:pStyle w:val="52"/>
              <w:jc w:val="center"/>
              <w:rPr>
                <w:kern w:val="0"/>
              </w:rPr>
            </w:pPr>
            <w:r>
              <w:rPr>
                <w:rFonts w:hint="eastAsia"/>
                <w:kern w:val="0"/>
              </w:rPr>
              <w:t>单位性质</w:t>
            </w: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事业单位</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国有企业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民营/私营企业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其他</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restart"/>
            <w:shd w:val="clear" w:color="auto" w:fill="auto"/>
            <w:vAlign w:val="center"/>
          </w:tcPr>
          <w:p>
            <w:pPr>
              <w:pStyle w:val="52"/>
              <w:jc w:val="center"/>
              <w:rPr>
                <w:kern w:val="0"/>
              </w:rPr>
            </w:pPr>
            <w:r>
              <w:rPr>
                <w:rFonts w:hint="eastAsia"/>
                <w:kern w:val="0"/>
              </w:rPr>
              <w:t>单位行业</w:t>
            </w: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采矿/建筑/水电气业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金融地产业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教育及科研行业</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文化、体育和娱乐业</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PrEx>
        <w:trPr>
          <w:trHeight w:val="270" w:hRule="atLeast"/>
          <w:jc w:val="center"/>
        </w:trPr>
        <w:tc>
          <w:tcPr>
            <w:tcW w:w="1476" w:type="dxa"/>
            <w:vMerge w:val="restart"/>
            <w:shd w:val="clear" w:color="auto" w:fill="auto"/>
            <w:vAlign w:val="center"/>
          </w:tcPr>
          <w:p>
            <w:pPr>
              <w:pStyle w:val="52"/>
              <w:jc w:val="center"/>
              <w:rPr>
                <w:kern w:val="0"/>
              </w:rPr>
            </w:pPr>
            <w:r>
              <w:rPr>
                <w:rFonts w:hint="eastAsia"/>
                <w:kern w:val="0"/>
              </w:rPr>
              <w:t>单位人员规模</w:t>
            </w: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100人及以下</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100-300人</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bottom w:val="single" w:color="00B050" w:sz="8" w:space="0"/>
            </w:tcBorders>
            <w:shd w:val="clear" w:color="auto" w:fill="auto"/>
            <w:vAlign w:val="center"/>
          </w:tcPr>
          <w:p>
            <w:pPr>
              <w:pStyle w:val="52"/>
              <w:rPr>
                <w:kern w:val="0"/>
              </w:rPr>
            </w:pPr>
            <w:r>
              <w:rPr>
                <w:rFonts w:hint="eastAsia"/>
                <w:kern w:val="0"/>
              </w:rPr>
              <w:t>300-1000人</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476" w:type="dxa"/>
            <w:vMerge w:val="continue"/>
            <w:shd w:val="clear" w:color="auto" w:fill="auto"/>
            <w:vAlign w:val="center"/>
          </w:tcPr>
          <w:p>
            <w:pPr>
              <w:pStyle w:val="52"/>
              <w:jc w:val="center"/>
              <w:rPr>
                <w:kern w:val="0"/>
              </w:rPr>
            </w:pPr>
          </w:p>
        </w:tc>
        <w:tc>
          <w:tcPr>
            <w:tcW w:w="2106" w:type="dxa"/>
            <w:tcBorders>
              <w:top w:val="single" w:color="00B050" w:sz="8" w:space="0"/>
            </w:tcBorders>
            <w:shd w:val="clear" w:color="auto" w:fill="auto"/>
            <w:vAlign w:val="center"/>
          </w:tcPr>
          <w:p>
            <w:pPr>
              <w:pStyle w:val="52"/>
              <w:rPr>
                <w:kern w:val="0"/>
              </w:rPr>
            </w:pPr>
            <w:r>
              <w:rPr>
                <w:rFonts w:hint="eastAsia"/>
                <w:kern w:val="0"/>
              </w:rPr>
              <w:t>1000人以上</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bl>
    <w:p>
      <w:pPr>
        <w:pStyle w:val="52"/>
      </w:pPr>
    </w:p>
    <w:p>
      <w:pPr>
        <w:pStyle w:val="52"/>
      </w:pPr>
    </w:p>
    <w:p>
      <w:pPr>
        <w:pStyle w:val="43"/>
        <w:spacing w:before="312" w:after="156"/>
      </w:pPr>
      <w:bookmarkStart w:id="234" w:name="_Toc470167439"/>
      <w:bookmarkStart w:id="235" w:name="_Toc406677098"/>
      <w:r>
        <w:rPr>
          <w:rFonts w:hint="eastAsia"/>
        </w:rPr>
        <w:t>二、</w:t>
      </w:r>
      <w:r>
        <w:t>调查单位</w:t>
      </w:r>
      <w:r>
        <w:rPr>
          <w:rFonts w:hint="eastAsia"/>
        </w:rPr>
        <w:t>招聘</w:t>
      </w:r>
      <w:r>
        <w:t>本校毕业生情况</w:t>
      </w:r>
      <w:bookmarkEnd w:id="234"/>
      <w:bookmarkEnd w:id="235"/>
    </w:p>
    <w:p>
      <w:pPr>
        <w:pStyle w:val="44"/>
        <w:spacing w:before="156"/>
      </w:pPr>
      <w:bookmarkStart w:id="236" w:name="_Toc470167440"/>
      <w:r>
        <w:t>1、实际</w:t>
      </w:r>
      <w:r>
        <w:rPr>
          <w:rFonts w:hint="eastAsia"/>
        </w:rPr>
        <w:t>和计划</w:t>
      </w:r>
      <w:r>
        <w:t>招聘数量情况</w:t>
      </w:r>
      <w:bookmarkEnd w:id="236"/>
    </w:p>
    <w:p>
      <w:pPr>
        <w:pStyle w:val="37"/>
        <w:ind w:firstLine="480"/>
      </w:pPr>
      <w:bookmarkStart w:id="237" w:name="PO_421"/>
      <w:bookmarkEnd w:id="237"/>
      <w:r>
        <w:rPr>
          <w:rFonts w:hint="eastAsia"/>
        </w:rPr>
        <w:t>2016年每家调查单位实际招聘本校毕业生人数约为1人。其中，招聘男生人数约为0人，女生人数约为1人；招聘北京生源毕业生人数约为0人，京外生源毕业生人数约为1人。</w:t>
      </w:r>
    </w:p>
    <w:p>
      <w:pPr>
        <w:pStyle w:val="37"/>
        <w:ind w:firstLine="480"/>
      </w:pPr>
      <w:r>
        <w:rPr>
          <w:rFonts w:hint="eastAsia"/>
        </w:rPr>
        <w:t>2017年每家调查单位计划招聘本校毕业生人数约为2人。其中，招聘男生人数约为0人，女生人数约为0人；招聘北京生源毕业生人数约为0人，京外生源毕业生人数约为0人。</w:t>
      </w:r>
    </w:p>
    <w:p>
      <w:pPr>
        <w:jc w:val="center"/>
      </w:pPr>
      <w:r>
        <w:rPr>
          <w:rFonts w:hint="eastAsia"/>
        </w:rPr>
        <w:drawing>
          <wp:inline distT="0" distB="0" distL="0" distR="0">
            <wp:extent cx="6134100" cy="3077210"/>
            <wp:effectExtent l="19050" t="0" r="19050" b="889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59"/>
        <w:spacing w:before="156" w:after="312"/>
      </w:pPr>
      <w:r>
        <w:rPr>
          <w:rFonts w:hint="eastAsia"/>
        </w:rPr>
        <w:t>实际和计划招聘数量情况</w:t>
      </w:r>
    </w:p>
    <w:p>
      <w:pPr>
        <w:pStyle w:val="53"/>
        <w:spacing w:before="312" w:after="156"/>
      </w:pPr>
      <w:r>
        <w:rPr>
          <w:rFonts w:hint="eastAsia"/>
        </w:rPr>
        <w:t>实际和计划招聘数量情况</w:t>
      </w:r>
    </w:p>
    <w:tbl>
      <w:tblPr>
        <w:tblStyle w:val="33"/>
        <w:tblW w:w="475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1056"/>
        <w:gridCol w:w="368"/>
        <w:gridCol w:w="636"/>
        <w:gridCol w:w="846"/>
        <w:gridCol w:w="368"/>
        <w:gridCol w:w="636"/>
        <w:gridCol w:w="84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restart"/>
            <w:vAlign w:val="center"/>
          </w:tcPr>
          <w:p>
            <w:pPr>
              <w:pStyle w:val="52"/>
              <w:jc w:val="center"/>
              <w:rPr>
                <w:kern w:val="0"/>
                <w:szCs w:val="21"/>
              </w:rPr>
            </w:pPr>
          </w:p>
        </w:tc>
        <w:tc>
          <w:tcPr>
            <w:tcW w:w="1850" w:type="dxa"/>
            <w:gridSpan w:val="3"/>
            <w:vAlign w:val="center"/>
          </w:tcPr>
          <w:p>
            <w:pPr>
              <w:pStyle w:val="52"/>
              <w:jc w:val="center"/>
              <w:rPr>
                <w:kern w:val="0"/>
                <w:szCs w:val="21"/>
              </w:rPr>
            </w:pPr>
            <w:r>
              <w:rPr>
                <w:rFonts w:hint="eastAsia"/>
                <w:kern w:val="0"/>
                <w:szCs w:val="21"/>
              </w:rPr>
              <w:t>2016年实际招聘</w:t>
            </w:r>
          </w:p>
        </w:tc>
        <w:tc>
          <w:tcPr>
            <w:tcW w:w="1850" w:type="dxa"/>
            <w:gridSpan w:val="3"/>
          </w:tcPr>
          <w:p>
            <w:pPr>
              <w:pStyle w:val="52"/>
              <w:jc w:val="center"/>
              <w:rPr>
                <w:kern w:val="0"/>
                <w:szCs w:val="21"/>
              </w:rPr>
            </w:pPr>
            <w:r>
              <w:rPr>
                <w:rFonts w:hint="eastAsia"/>
                <w:kern w:val="0"/>
                <w:szCs w:val="21"/>
              </w:rPr>
              <w:t>2017年计划招聘</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1056" w:type="dxa"/>
            <w:vMerge w:val="continue"/>
            <w:vAlign w:val="center"/>
          </w:tcPr>
          <w:p>
            <w:pPr>
              <w:pStyle w:val="52"/>
              <w:jc w:val="center"/>
              <w:rPr>
                <w:kern w:val="0"/>
                <w:szCs w:val="21"/>
              </w:rPr>
            </w:pPr>
          </w:p>
        </w:tc>
        <w:tc>
          <w:tcPr>
            <w:tcW w:w="368" w:type="dxa"/>
            <w:vAlign w:val="center"/>
          </w:tcPr>
          <w:p>
            <w:pPr>
              <w:pStyle w:val="52"/>
              <w:jc w:val="center"/>
              <w:rPr>
                <w:kern w:val="0"/>
                <w:szCs w:val="21"/>
              </w:rPr>
            </w:pPr>
            <w:r>
              <w:rPr>
                <w:kern w:val="0"/>
                <w:szCs w:val="21"/>
              </w:rPr>
              <w:t>N</w:t>
            </w:r>
          </w:p>
        </w:tc>
        <w:tc>
          <w:tcPr>
            <w:tcW w:w="636" w:type="dxa"/>
          </w:tcPr>
          <w:p>
            <w:pPr>
              <w:pStyle w:val="52"/>
              <w:jc w:val="center"/>
              <w:rPr>
                <w:kern w:val="0"/>
                <w:szCs w:val="21"/>
              </w:rPr>
            </w:pPr>
            <w:r>
              <w:rPr>
                <w:kern w:val="0"/>
                <w:szCs w:val="21"/>
              </w:rPr>
              <w:t>均值</w:t>
            </w:r>
          </w:p>
        </w:tc>
        <w:tc>
          <w:tcPr>
            <w:tcW w:w="846" w:type="dxa"/>
            <w:vAlign w:val="center"/>
          </w:tcPr>
          <w:p>
            <w:pPr>
              <w:pStyle w:val="52"/>
              <w:jc w:val="center"/>
              <w:rPr>
                <w:kern w:val="0"/>
                <w:szCs w:val="21"/>
              </w:rPr>
            </w:pPr>
            <w:r>
              <w:rPr>
                <w:kern w:val="0"/>
                <w:szCs w:val="21"/>
              </w:rPr>
              <w:t>标准差</w:t>
            </w:r>
          </w:p>
        </w:tc>
        <w:tc>
          <w:tcPr>
            <w:tcW w:w="368" w:type="dxa"/>
          </w:tcPr>
          <w:p>
            <w:pPr>
              <w:pStyle w:val="52"/>
              <w:jc w:val="center"/>
              <w:rPr>
                <w:kern w:val="0"/>
                <w:szCs w:val="21"/>
              </w:rPr>
            </w:pPr>
            <w:r>
              <w:rPr>
                <w:kern w:val="0"/>
                <w:szCs w:val="21"/>
              </w:rPr>
              <w:t>N</w:t>
            </w:r>
          </w:p>
        </w:tc>
        <w:tc>
          <w:tcPr>
            <w:tcW w:w="636" w:type="dxa"/>
            <w:vAlign w:val="center"/>
          </w:tcPr>
          <w:p>
            <w:pPr>
              <w:pStyle w:val="52"/>
              <w:jc w:val="center"/>
              <w:rPr>
                <w:kern w:val="0"/>
                <w:szCs w:val="21"/>
              </w:rPr>
            </w:pPr>
            <w:r>
              <w:rPr>
                <w:kern w:val="0"/>
                <w:szCs w:val="21"/>
              </w:rPr>
              <w:t>均值</w:t>
            </w:r>
          </w:p>
        </w:tc>
        <w:tc>
          <w:tcPr>
            <w:tcW w:w="846" w:type="dxa"/>
          </w:tcPr>
          <w:p>
            <w:pPr>
              <w:pStyle w:val="52"/>
              <w:jc w:val="center"/>
              <w:rPr>
                <w:kern w:val="0"/>
                <w:szCs w:val="21"/>
              </w:rPr>
            </w:pPr>
            <w:r>
              <w:rPr>
                <w:kern w:val="0"/>
                <w:szCs w:val="21"/>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jc w:val="center"/>
              <w:rPr>
                <w:kern w:val="0"/>
                <w:szCs w:val="21"/>
              </w:rPr>
            </w:pPr>
            <w:r>
              <w:rPr>
                <w:rFonts w:hint="eastAsia"/>
                <w:kern w:val="0"/>
                <w:szCs w:val="21"/>
              </w:rPr>
              <w:t>总体</w:t>
            </w:r>
          </w:p>
        </w:tc>
        <w:tc>
          <w:tcPr>
            <w:tcW w:w="368" w:type="dxa"/>
            <w:vAlign w:val="center"/>
          </w:tcPr>
          <w:p>
            <w:pPr>
              <w:pStyle w:val="52"/>
              <w:jc w:val="center"/>
              <w:rPr>
                <w:rStyle w:val="29"/>
                <w:szCs w:val="21"/>
              </w:rPr>
            </w:pPr>
            <w:r>
              <w:rPr>
                <w:rStyle w:val="29"/>
                <w:szCs w:val="21"/>
              </w:rPr>
              <w:t>5</w:t>
            </w:r>
          </w:p>
        </w:tc>
        <w:tc>
          <w:tcPr>
            <w:tcW w:w="636" w:type="dxa"/>
          </w:tcPr>
          <w:p>
            <w:pPr>
              <w:jc w:val="center"/>
              <w:rPr>
                <w:color w:val="000000"/>
                <w:szCs w:val="21"/>
              </w:rPr>
            </w:pPr>
            <w:r>
              <w:rPr>
                <w:color w:val="000000"/>
                <w:szCs w:val="21"/>
              </w:rPr>
              <w:t>1.00</w:t>
            </w:r>
          </w:p>
        </w:tc>
        <w:tc>
          <w:tcPr>
            <w:tcW w:w="846" w:type="dxa"/>
            <w:vAlign w:val="center"/>
          </w:tcPr>
          <w:p>
            <w:pPr>
              <w:jc w:val="center"/>
              <w:rPr>
                <w:color w:val="000000"/>
                <w:szCs w:val="21"/>
              </w:rPr>
            </w:pPr>
            <w:r>
              <w:rPr>
                <w:color w:val="000000"/>
                <w:szCs w:val="21"/>
              </w:rPr>
              <w:t>0.00</w:t>
            </w:r>
          </w:p>
        </w:tc>
        <w:tc>
          <w:tcPr>
            <w:tcW w:w="368" w:type="dxa"/>
          </w:tcPr>
          <w:p>
            <w:pPr>
              <w:jc w:val="center"/>
              <w:rPr>
                <w:color w:val="000000"/>
                <w:szCs w:val="21"/>
              </w:rPr>
            </w:pPr>
            <w:r>
              <w:rPr>
                <w:color w:val="000000"/>
                <w:szCs w:val="21"/>
              </w:rPr>
              <w:t>5</w:t>
            </w:r>
          </w:p>
        </w:tc>
        <w:tc>
          <w:tcPr>
            <w:tcW w:w="636" w:type="dxa"/>
            <w:vAlign w:val="center"/>
          </w:tcPr>
          <w:p>
            <w:pPr>
              <w:jc w:val="center"/>
              <w:rPr>
                <w:color w:val="000000"/>
                <w:szCs w:val="21"/>
              </w:rPr>
            </w:pPr>
            <w:r>
              <w:rPr>
                <w:color w:val="000000"/>
                <w:szCs w:val="21"/>
              </w:rPr>
              <w:t>2.00</w:t>
            </w:r>
          </w:p>
        </w:tc>
        <w:tc>
          <w:tcPr>
            <w:tcW w:w="846" w:type="dxa"/>
          </w:tcPr>
          <w:p>
            <w:pPr>
              <w:jc w:val="center"/>
              <w:rPr>
                <w:color w:val="000000"/>
                <w:szCs w:val="21"/>
              </w:rPr>
            </w:pPr>
            <w:r>
              <w:rPr>
                <w:color w:val="000000"/>
                <w:szCs w:val="21"/>
              </w:rPr>
              <w:t>2.12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jc w:val="center"/>
              <w:rPr>
                <w:kern w:val="0"/>
                <w:szCs w:val="21"/>
              </w:rPr>
            </w:pPr>
            <w:r>
              <w:rPr>
                <w:rFonts w:hint="eastAsia"/>
                <w:kern w:val="0"/>
                <w:szCs w:val="21"/>
              </w:rPr>
              <w:t>男生</w:t>
            </w:r>
          </w:p>
        </w:tc>
        <w:tc>
          <w:tcPr>
            <w:tcW w:w="368" w:type="dxa"/>
            <w:vAlign w:val="center"/>
          </w:tcPr>
          <w:p>
            <w:pPr>
              <w:pStyle w:val="52"/>
              <w:jc w:val="center"/>
              <w:rPr>
                <w:rStyle w:val="29"/>
                <w:szCs w:val="21"/>
              </w:rPr>
            </w:pPr>
            <w:r>
              <w:rPr>
                <w:rStyle w:val="29"/>
                <w:szCs w:val="21"/>
              </w:rPr>
              <w:t>5</w:t>
            </w:r>
          </w:p>
        </w:tc>
        <w:tc>
          <w:tcPr>
            <w:tcW w:w="636" w:type="dxa"/>
          </w:tcPr>
          <w:p>
            <w:pPr>
              <w:jc w:val="center"/>
              <w:rPr>
                <w:color w:val="000000"/>
                <w:szCs w:val="21"/>
              </w:rPr>
            </w:pPr>
            <w:r>
              <w:rPr>
                <w:color w:val="000000"/>
                <w:szCs w:val="21"/>
              </w:rPr>
              <w:t>0.00</w:t>
            </w:r>
          </w:p>
        </w:tc>
        <w:tc>
          <w:tcPr>
            <w:tcW w:w="846" w:type="dxa"/>
            <w:vAlign w:val="center"/>
          </w:tcPr>
          <w:p>
            <w:pPr>
              <w:jc w:val="center"/>
              <w:rPr>
                <w:color w:val="000000"/>
                <w:szCs w:val="21"/>
              </w:rPr>
            </w:pPr>
            <w:r>
              <w:rPr>
                <w:color w:val="000000"/>
                <w:szCs w:val="21"/>
              </w:rPr>
              <w:t>0.00</w:t>
            </w:r>
          </w:p>
        </w:tc>
        <w:tc>
          <w:tcPr>
            <w:tcW w:w="368" w:type="dxa"/>
          </w:tcPr>
          <w:p>
            <w:pPr>
              <w:jc w:val="center"/>
              <w:rPr>
                <w:color w:val="000000"/>
                <w:szCs w:val="21"/>
              </w:rPr>
            </w:pPr>
            <w:r>
              <w:rPr>
                <w:color w:val="000000"/>
                <w:szCs w:val="21"/>
              </w:rPr>
              <w:t>2</w:t>
            </w:r>
          </w:p>
        </w:tc>
        <w:tc>
          <w:tcPr>
            <w:tcW w:w="636" w:type="dxa"/>
            <w:vAlign w:val="center"/>
          </w:tcPr>
          <w:p>
            <w:pPr>
              <w:jc w:val="center"/>
              <w:rPr>
                <w:color w:val="000000"/>
                <w:szCs w:val="21"/>
              </w:rPr>
            </w:pPr>
            <w:r>
              <w:rPr>
                <w:color w:val="000000"/>
                <w:szCs w:val="21"/>
              </w:rPr>
              <w:t>0.00</w:t>
            </w:r>
          </w:p>
        </w:tc>
        <w:tc>
          <w:tcPr>
            <w:tcW w:w="846" w:type="dxa"/>
          </w:tcPr>
          <w:p>
            <w:pPr>
              <w:jc w:val="center"/>
              <w:rPr>
                <w:color w:val="000000"/>
                <w:szCs w:val="21"/>
              </w:rPr>
            </w:pPr>
            <w:r>
              <w:rPr>
                <w:color w:val="000000"/>
                <w:szCs w:val="21"/>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jc w:val="center"/>
              <w:rPr>
                <w:kern w:val="0"/>
                <w:szCs w:val="21"/>
              </w:rPr>
            </w:pPr>
            <w:r>
              <w:rPr>
                <w:rFonts w:hint="eastAsia"/>
                <w:kern w:val="0"/>
                <w:szCs w:val="21"/>
              </w:rPr>
              <w:t>女生</w:t>
            </w:r>
          </w:p>
        </w:tc>
        <w:tc>
          <w:tcPr>
            <w:tcW w:w="368" w:type="dxa"/>
            <w:vAlign w:val="center"/>
          </w:tcPr>
          <w:p>
            <w:pPr>
              <w:pStyle w:val="52"/>
              <w:jc w:val="center"/>
              <w:rPr>
                <w:rStyle w:val="29"/>
                <w:szCs w:val="21"/>
              </w:rPr>
            </w:pPr>
            <w:r>
              <w:rPr>
                <w:rStyle w:val="29"/>
                <w:szCs w:val="21"/>
              </w:rPr>
              <w:t>5</w:t>
            </w:r>
          </w:p>
        </w:tc>
        <w:tc>
          <w:tcPr>
            <w:tcW w:w="636" w:type="dxa"/>
          </w:tcPr>
          <w:p>
            <w:pPr>
              <w:jc w:val="center"/>
              <w:rPr>
                <w:color w:val="000000"/>
                <w:szCs w:val="21"/>
              </w:rPr>
            </w:pPr>
            <w:r>
              <w:rPr>
                <w:color w:val="000000"/>
                <w:szCs w:val="21"/>
              </w:rPr>
              <w:t>1.00</w:t>
            </w:r>
          </w:p>
        </w:tc>
        <w:tc>
          <w:tcPr>
            <w:tcW w:w="846" w:type="dxa"/>
            <w:vAlign w:val="center"/>
          </w:tcPr>
          <w:p>
            <w:pPr>
              <w:jc w:val="center"/>
              <w:rPr>
                <w:color w:val="000000"/>
                <w:szCs w:val="21"/>
              </w:rPr>
            </w:pPr>
            <w:r>
              <w:rPr>
                <w:color w:val="000000"/>
                <w:szCs w:val="21"/>
              </w:rPr>
              <w:t>0.00</w:t>
            </w:r>
          </w:p>
        </w:tc>
        <w:tc>
          <w:tcPr>
            <w:tcW w:w="368" w:type="dxa"/>
          </w:tcPr>
          <w:p>
            <w:pPr>
              <w:jc w:val="center"/>
              <w:rPr>
                <w:color w:val="000000"/>
                <w:szCs w:val="21"/>
              </w:rPr>
            </w:pPr>
            <w:r>
              <w:rPr>
                <w:color w:val="000000"/>
                <w:szCs w:val="21"/>
              </w:rPr>
              <w:t>2</w:t>
            </w:r>
          </w:p>
        </w:tc>
        <w:tc>
          <w:tcPr>
            <w:tcW w:w="636" w:type="dxa"/>
            <w:vAlign w:val="center"/>
          </w:tcPr>
          <w:p>
            <w:pPr>
              <w:jc w:val="center"/>
              <w:rPr>
                <w:color w:val="000000"/>
                <w:szCs w:val="21"/>
              </w:rPr>
            </w:pPr>
            <w:r>
              <w:rPr>
                <w:color w:val="000000"/>
                <w:szCs w:val="21"/>
              </w:rPr>
              <w:t>0.00</w:t>
            </w:r>
          </w:p>
        </w:tc>
        <w:tc>
          <w:tcPr>
            <w:tcW w:w="846" w:type="dxa"/>
          </w:tcPr>
          <w:p>
            <w:pPr>
              <w:jc w:val="center"/>
              <w:rPr>
                <w:color w:val="000000"/>
                <w:szCs w:val="21"/>
              </w:rPr>
            </w:pPr>
            <w:r>
              <w:rPr>
                <w:color w:val="000000"/>
                <w:szCs w:val="21"/>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70" w:hRule="atLeast"/>
          <w:jc w:val="center"/>
        </w:trPr>
        <w:tc>
          <w:tcPr>
            <w:tcW w:w="1056" w:type="dxa"/>
            <w:shd w:val="clear" w:color="auto" w:fill="auto"/>
            <w:vAlign w:val="center"/>
          </w:tcPr>
          <w:p>
            <w:pPr>
              <w:pStyle w:val="52"/>
              <w:jc w:val="center"/>
              <w:rPr>
                <w:kern w:val="0"/>
                <w:szCs w:val="21"/>
              </w:rPr>
            </w:pPr>
            <w:r>
              <w:rPr>
                <w:rFonts w:hint="eastAsia"/>
                <w:kern w:val="0"/>
                <w:szCs w:val="21"/>
              </w:rPr>
              <w:t>北京生源</w:t>
            </w:r>
          </w:p>
        </w:tc>
        <w:tc>
          <w:tcPr>
            <w:tcW w:w="368" w:type="dxa"/>
            <w:vAlign w:val="center"/>
          </w:tcPr>
          <w:p>
            <w:pPr>
              <w:pStyle w:val="52"/>
              <w:jc w:val="center"/>
              <w:rPr>
                <w:rStyle w:val="29"/>
                <w:szCs w:val="21"/>
              </w:rPr>
            </w:pPr>
            <w:r>
              <w:rPr>
                <w:rStyle w:val="29"/>
                <w:szCs w:val="21"/>
              </w:rPr>
              <w:t>5</w:t>
            </w:r>
          </w:p>
        </w:tc>
        <w:tc>
          <w:tcPr>
            <w:tcW w:w="636" w:type="dxa"/>
          </w:tcPr>
          <w:p>
            <w:pPr>
              <w:jc w:val="center"/>
              <w:rPr>
                <w:color w:val="000000"/>
                <w:szCs w:val="21"/>
              </w:rPr>
            </w:pPr>
            <w:r>
              <w:rPr>
                <w:color w:val="000000"/>
                <w:szCs w:val="21"/>
              </w:rPr>
              <w:t>0.20</w:t>
            </w:r>
          </w:p>
        </w:tc>
        <w:tc>
          <w:tcPr>
            <w:tcW w:w="846" w:type="dxa"/>
            <w:vAlign w:val="center"/>
          </w:tcPr>
          <w:p>
            <w:pPr>
              <w:jc w:val="center"/>
              <w:rPr>
                <w:color w:val="000000"/>
                <w:szCs w:val="21"/>
              </w:rPr>
            </w:pPr>
            <w:r>
              <w:rPr>
                <w:color w:val="000000"/>
                <w:szCs w:val="21"/>
              </w:rPr>
              <w:t>0.45</w:t>
            </w:r>
          </w:p>
        </w:tc>
        <w:tc>
          <w:tcPr>
            <w:tcW w:w="368" w:type="dxa"/>
          </w:tcPr>
          <w:p>
            <w:pPr>
              <w:jc w:val="center"/>
              <w:rPr>
                <w:color w:val="000000"/>
                <w:szCs w:val="21"/>
              </w:rPr>
            </w:pPr>
            <w:r>
              <w:rPr>
                <w:color w:val="000000"/>
                <w:szCs w:val="21"/>
              </w:rPr>
              <w:t>2</w:t>
            </w:r>
          </w:p>
        </w:tc>
        <w:tc>
          <w:tcPr>
            <w:tcW w:w="636" w:type="dxa"/>
            <w:vAlign w:val="center"/>
          </w:tcPr>
          <w:p>
            <w:pPr>
              <w:jc w:val="center"/>
              <w:rPr>
                <w:color w:val="000000"/>
                <w:szCs w:val="21"/>
              </w:rPr>
            </w:pPr>
            <w:r>
              <w:rPr>
                <w:color w:val="000000"/>
                <w:szCs w:val="21"/>
              </w:rPr>
              <w:t>0.00</w:t>
            </w:r>
          </w:p>
        </w:tc>
        <w:tc>
          <w:tcPr>
            <w:tcW w:w="846" w:type="dxa"/>
          </w:tcPr>
          <w:p>
            <w:pPr>
              <w:jc w:val="center"/>
              <w:rPr>
                <w:color w:val="000000"/>
                <w:szCs w:val="21"/>
              </w:rPr>
            </w:pPr>
            <w:r>
              <w:rPr>
                <w:color w:val="000000"/>
                <w:szCs w:val="21"/>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jc w:val="center"/>
              <w:rPr>
                <w:kern w:val="0"/>
                <w:szCs w:val="21"/>
              </w:rPr>
            </w:pPr>
            <w:r>
              <w:rPr>
                <w:rFonts w:hint="eastAsia"/>
                <w:kern w:val="0"/>
                <w:szCs w:val="21"/>
              </w:rPr>
              <w:t>京外生源</w:t>
            </w:r>
          </w:p>
        </w:tc>
        <w:tc>
          <w:tcPr>
            <w:tcW w:w="368" w:type="dxa"/>
            <w:vAlign w:val="center"/>
          </w:tcPr>
          <w:p>
            <w:pPr>
              <w:pStyle w:val="52"/>
              <w:jc w:val="center"/>
              <w:rPr>
                <w:rStyle w:val="29"/>
                <w:szCs w:val="21"/>
              </w:rPr>
            </w:pPr>
            <w:r>
              <w:rPr>
                <w:rStyle w:val="29"/>
                <w:szCs w:val="21"/>
              </w:rPr>
              <w:t>5</w:t>
            </w:r>
          </w:p>
        </w:tc>
        <w:tc>
          <w:tcPr>
            <w:tcW w:w="636" w:type="dxa"/>
          </w:tcPr>
          <w:p>
            <w:pPr>
              <w:jc w:val="center"/>
              <w:rPr>
                <w:color w:val="000000"/>
                <w:szCs w:val="21"/>
              </w:rPr>
            </w:pPr>
            <w:r>
              <w:rPr>
                <w:color w:val="000000"/>
                <w:szCs w:val="21"/>
              </w:rPr>
              <w:t>0.60</w:t>
            </w:r>
          </w:p>
        </w:tc>
        <w:tc>
          <w:tcPr>
            <w:tcW w:w="846" w:type="dxa"/>
            <w:vAlign w:val="center"/>
          </w:tcPr>
          <w:p>
            <w:pPr>
              <w:jc w:val="center"/>
              <w:rPr>
                <w:color w:val="000000"/>
                <w:szCs w:val="21"/>
              </w:rPr>
            </w:pPr>
            <w:r>
              <w:rPr>
                <w:color w:val="000000"/>
                <w:szCs w:val="21"/>
              </w:rPr>
              <w:t>0.55</w:t>
            </w:r>
          </w:p>
        </w:tc>
        <w:tc>
          <w:tcPr>
            <w:tcW w:w="368" w:type="dxa"/>
          </w:tcPr>
          <w:p>
            <w:pPr>
              <w:jc w:val="center"/>
              <w:rPr>
                <w:color w:val="000000"/>
                <w:szCs w:val="21"/>
              </w:rPr>
            </w:pPr>
            <w:r>
              <w:rPr>
                <w:color w:val="000000"/>
                <w:szCs w:val="21"/>
              </w:rPr>
              <w:t>2</w:t>
            </w:r>
          </w:p>
        </w:tc>
        <w:tc>
          <w:tcPr>
            <w:tcW w:w="636" w:type="dxa"/>
            <w:vAlign w:val="center"/>
          </w:tcPr>
          <w:p>
            <w:pPr>
              <w:jc w:val="center"/>
              <w:rPr>
                <w:color w:val="000000"/>
                <w:szCs w:val="21"/>
              </w:rPr>
            </w:pPr>
            <w:r>
              <w:rPr>
                <w:color w:val="000000"/>
                <w:szCs w:val="21"/>
              </w:rPr>
              <w:t>0.00</w:t>
            </w:r>
          </w:p>
        </w:tc>
        <w:tc>
          <w:tcPr>
            <w:tcW w:w="846" w:type="dxa"/>
          </w:tcPr>
          <w:p>
            <w:pPr>
              <w:jc w:val="center"/>
              <w:rPr>
                <w:color w:val="000000"/>
                <w:szCs w:val="21"/>
              </w:rPr>
            </w:pPr>
            <w:r>
              <w:rPr>
                <w:color w:val="000000"/>
                <w:szCs w:val="21"/>
              </w:rPr>
              <w:t>0.00</w:t>
            </w:r>
          </w:p>
        </w:tc>
      </w:tr>
    </w:tbl>
    <w:p>
      <w:pPr>
        <w:pStyle w:val="37"/>
        <w:ind w:firstLine="0" w:firstLineChars="0"/>
      </w:pPr>
    </w:p>
    <w:p>
      <w:pPr>
        <w:pStyle w:val="44"/>
        <w:spacing w:before="156"/>
      </w:pPr>
      <w:bookmarkStart w:id="238" w:name="_Toc470167441"/>
      <w:r>
        <w:t>2、实际和计划招聘学历层次</w:t>
      </w:r>
      <w:r>
        <w:rPr>
          <w:rFonts w:hint="eastAsia"/>
        </w:rPr>
        <w:t>情况</w:t>
      </w:r>
      <w:bookmarkEnd w:id="238"/>
    </w:p>
    <w:p>
      <w:pPr>
        <w:pStyle w:val="37"/>
        <w:ind w:firstLine="480"/>
      </w:pPr>
      <w:bookmarkStart w:id="239" w:name="PO_4221"/>
      <w:bookmarkEnd w:id="239"/>
      <w:r>
        <w:rPr>
          <w:rFonts w:hint="eastAsia"/>
        </w:rPr>
        <w:t>2016年调查单位实际招聘本校毕业生人数最多的学历层次为本科生（0.40人），招聘人数最少的学历层次为硕士生（0.20人）。</w:t>
      </w:r>
    </w:p>
    <w:p>
      <w:pPr>
        <w:pStyle w:val="53"/>
        <w:spacing w:before="312" w:after="156"/>
      </w:pPr>
      <w:r>
        <w:rPr>
          <w:rFonts w:hint="eastAsia"/>
        </w:rPr>
        <w:t>实际和计划招聘学历层次情况</w:t>
      </w:r>
    </w:p>
    <w:tbl>
      <w:tblPr>
        <w:tblStyle w:val="33"/>
        <w:tblW w:w="4546"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846"/>
        <w:gridCol w:w="368"/>
        <w:gridCol w:w="636"/>
        <w:gridCol w:w="846"/>
        <w:gridCol w:w="368"/>
        <w:gridCol w:w="636"/>
        <w:gridCol w:w="84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846" w:type="dxa"/>
            <w:vMerge w:val="restart"/>
            <w:tcBorders>
              <w:right w:val="single" w:color="00B050" w:sz="8" w:space="0"/>
            </w:tcBorders>
          </w:tcPr>
          <w:p>
            <w:pPr>
              <w:pStyle w:val="52"/>
              <w:jc w:val="center"/>
              <w:rPr>
                <w:kern w:val="0"/>
              </w:rPr>
            </w:pPr>
          </w:p>
        </w:tc>
        <w:tc>
          <w:tcPr>
            <w:tcW w:w="1850" w:type="dxa"/>
            <w:gridSpan w:val="3"/>
            <w:tcBorders>
              <w:left w:val="single" w:color="00B050" w:sz="8" w:space="0"/>
            </w:tcBorders>
            <w:vAlign w:val="center"/>
          </w:tcPr>
          <w:p>
            <w:pPr>
              <w:pStyle w:val="52"/>
              <w:jc w:val="center"/>
              <w:rPr>
                <w:kern w:val="0"/>
              </w:rPr>
            </w:pPr>
            <w:r>
              <w:rPr>
                <w:rFonts w:hint="eastAsia"/>
                <w:kern w:val="0"/>
                <w:szCs w:val="21"/>
              </w:rPr>
              <w:t>2016年实际招聘</w:t>
            </w:r>
          </w:p>
        </w:tc>
        <w:tc>
          <w:tcPr>
            <w:tcW w:w="1850" w:type="dxa"/>
            <w:gridSpan w:val="3"/>
          </w:tcPr>
          <w:p>
            <w:pPr>
              <w:pStyle w:val="52"/>
              <w:jc w:val="center"/>
              <w:rPr>
                <w:kern w:val="0"/>
              </w:rPr>
            </w:pPr>
            <w:r>
              <w:rPr>
                <w:rFonts w:hint="eastAsia"/>
                <w:kern w:val="0"/>
                <w:szCs w:val="21"/>
              </w:rPr>
              <w:t>2017年计划招聘</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846" w:type="dxa"/>
            <w:vMerge w:val="continue"/>
            <w:tcBorders>
              <w:right w:val="single" w:color="00B050" w:sz="8" w:space="0"/>
            </w:tcBorders>
          </w:tcPr>
          <w:p>
            <w:pPr>
              <w:pStyle w:val="52"/>
              <w:jc w:val="center"/>
              <w:rPr>
                <w:kern w:val="0"/>
              </w:rPr>
            </w:pPr>
          </w:p>
        </w:tc>
        <w:tc>
          <w:tcPr>
            <w:tcW w:w="368" w:type="dxa"/>
            <w:tcBorders>
              <w:left w:val="single" w:color="00B050" w:sz="8" w:space="0"/>
            </w:tcBorders>
            <w:vAlign w:val="center"/>
          </w:tcPr>
          <w:p>
            <w:pPr>
              <w:pStyle w:val="52"/>
              <w:jc w:val="center"/>
              <w:rPr>
                <w:kern w:val="0"/>
              </w:rPr>
            </w:pPr>
            <w:r>
              <w:rPr>
                <w:rFonts w:hint="eastAsia"/>
                <w:kern w:val="0"/>
              </w:rPr>
              <w:t>N</w:t>
            </w:r>
          </w:p>
        </w:tc>
        <w:tc>
          <w:tcPr>
            <w:tcW w:w="636" w:type="dxa"/>
            <w:shd w:val="clear" w:color="auto" w:fill="auto"/>
            <w:vAlign w:val="center"/>
          </w:tcPr>
          <w:p>
            <w:pPr>
              <w:pStyle w:val="52"/>
              <w:jc w:val="center"/>
              <w:rPr>
                <w:kern w:val="0"/>
              </w:rPr>
            </w:pPr>
            <w:r>
              <w:rPr>
                <w:kern w:val="0"/>
              </w:rPr>
              <w:t>均值</w:t>
            </w:r>
          </w:p>
        </w:tc>
        <w:tc>
          <w:tcPr>
            <w:tcW w:w="846" w:type="dxa"/>
            <w:shd w:val="clear" w:color="auto" w:fill="auto"/>
            <w:vAlign w:val="center"/>
          </w:tcPr>
          <w:p>
            <w:pPr>
              <w:pStyle w:val="52"/>
              <w:jc w:val="center"/>
              <w:rPr>
                <w:kern w:val="0"/>
              </w:rPr>
            </w:pPr>
            <w:r>
              <w:rPr>
                <w:kern w:val="0"/>
              </w:rPr>
              <w:t>标准差</w:t>
            </w:r>
          </w:p>
        </w:tc>
        <w:tc>
          <w:tcPr>
            <w:tcW w:w="368" w:type="dxa"/>
            <w:vAlign w:val="center"/>
          </w:tcPr>
          <w:p>
            <w:pPr>
              <w:pStyle w:val="52"/>
              <w:jc w:val="center"/>
              <w:rPr>
                <w:kern w:val="0"/>
              </w:rPr>
            </w:pPr>
            <w:r>
              <w:rPr>
                <w:rFonts w:hint="eastAsia"/>
                <w:kern w:val="0"/>
              </w:rPr>
              <w:t>N</w:t>
            </w:r>
          </w:p>
        </w:tc>
        <w:tc>
          <w:tcPr>
            <w:tcW w:w="636" w:type="dxa"/>
            <w:vAlign w:val="center"/>
          </w:tcPr>
          <w:p>
            <w:pPr>
              <w:pStyle w:val="52"/>
              <w:jc w:val="center"/>
              <w:rPr>
                <w:kern w:val="0"/>
              </w:rPr>
            </w:pPr>
            <w:r>
              <w:rPr>
                <w:kern w:val="0"/>
              </w:rPr>
              <w:t>均值</w:t>
            </w:r>
          </w:p>
        </w:tc>
        <w:tc>
          <w:tcPr>
            <w:tcW w:w="846" w:type="dxa"/>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专科生</w:t>
            </w:r>
          </w:p>
        </w:tc>
        <w:tc>
          <w:tcPr>
            <w:tcW w:w="368" w:type="dxa"/>
            <w:tcBorders>
              <w:left w:val="single" w:color="00B050" w:sz="8" w:space="0"/>
            </w:tcBorders>
            <w:vAlign w:val="center"/>
          </w:tcPr>
          <w:p>
            <w:pPr>
              <w:pStyle w:val="52"/>
              <w:jc w:val="center"/>
              <w:rPr>
                <w:kern w:val="0"/>
              </w:rPr>
            </w:pPr>
            <w:r>
              <w:rPr>
                <w:rFonts w:hint="eastAsia"/>
                <w:kern w:val="0"/>
              </w:rPr>
              <w:t>5</w:t>
            </w:r>
          </w:p>
        </w:tc>
        <w:tc>
          <w:tcPr>
            <w:tcW w:w="636" w:type="dxa"/>
            <w:shd w:val="clear" w:color="auto" w:fill="auto"/>
            <w:vAlign w:val="center"/>
          </w:tcPr>
          <w:p>
            <w:pPr>
              <w:pStyle w:val="52"/>
              <w:jc w:val="center"/>
              <w:rPr>
                <w:kern w:val="0"/>
              </w:rPr>
            </w:pPr>
            <w:r>
              <w:rPr>
                <w:rFonts w:hint="eastAsia"/>
                <w:kern w:val="0"/>
              </w:rPr>
              <w:t>0.00</w:t>
            </w:r>
          </w:p>
        </w:tc>
        <w:tc>
          <w:tcPr>
            <w:tcW w:w="846" w:type="dxa"/>
            <w:shd w:val="clear" w:color="auto" w:fill="auto"/>
            <w:vAlign w:val="center"/>
          </w:tcPr>
          <w:p>
            <w:pPr>
              <w:pStyle w:val="52"/>
              <w:jc w:val="center"/>
              <w:rPr>
                <w:kern w:val="0"/>
              </w:rPr>
            </w:pPr>
            <w:r>
              <w:rPr>
                <w:rFonts w:hint="eastAsia"/>
                <w:kern w:val="0"/>
              </w:rPr>
              <w:t>0.00</w:t>
            </w:r>
          </w:p>
        </w:tc>
        <w:tc>
          <w:tcPr>
            <w:tcW w:w="368" w:type="dxa"/>
            <w:vAlign w:val="center"/>
          </w:tcPr>
          <w:p>
            <w:pPr>
              <w:pStyle w:val="52"/>
              <w:jc w:val="center"/>
              <w:rPr>
                <w:kern w:val="0"/>
              </w:rPr>
            </w:pPr>
            <w:r>
              <w:rPr>
                <w:rFonts w:hint="eastAsia"/>
                <w:kern w:val="0"/>
              </w:rPr>
              <w:t>2</w:t>
            </w:r>
          </w:p>
        </w:tc>
        <w:tc>
          <w:tcPr>
            <w:tcW w:w="636" w:type="dxa"/>
            <w:vAlign w:val="center"/>
          </w:tcPr>
          <w:p>
            <w:pPr>
              <w:pStyle w:val="52"/>
              <w:jc w:val="center"/>
              <w:rPr>
                <w:kern w:val="0"/>
              </w:rPr>
            </w:pPr>
            <w:r>
              <w:rPr>
                <w:rFonts w:hint="eastAsia"/>
                <w:kern w:val="0"/>
              </w:rPr>
              <w:t>0.00</w:t>
            </w:r>
          </w:p>
        </w:tc>
        <w:tc>
          <w:tcPr>
            <w:tcW w:w="846" w:type="dxa"/>
            <w:vAlign w:val="center"/>
          </w:tcPr>
          <w:p>
            <w:pPr>
              <w:pStyle w:val="52"/>
              <w:jc w:val="center"/>
              <w:rPr>
                <w:kern w:val="0"/>
              </w:rPr>
            </w:pPr>
            <w:r>
              <w:rPr>
                <w:rFonts w:hint="eastAsia"/>
                <w:kern w:val="0"/>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本科生</w:t>
            </w:r>
          </w:p>
        </w:tc>
        <w:tc>
          <w:tcPr>
            <w:tcW w:w="368" w:type="dxa"/>
            <w:tcBorders>
              <w:left w:val="single" w:color="00B050" w:sz="8" w:space="0"/>
            </w:tcBorders>
            <w:vAlign w:val="center"/>
          </w:tcPr>
          <w:p>
            <w:pPr>
              <w:pStyle w:val="52"/>
              <w:jc w:val="center"/>
              <w:rPr>
                <w:kern w:val="0"/>
              </w:rPr>
            </w:pPr>
            <w:r>
              <w:rPr>
                <w:kern w:val="0"/>
              </w:rPr>
              <w:t>5</w:t>
            </w:r>
          </w:p>
        </w:tc>
        <w:tc>
          <w:tcPr>
            <w:tcW w:w="636" w:type="dxa"/>
            <w:shd w:val="clear" w:color="auto" w:fill="auto"/>
            <w:vAlign w:val="center"/>
          </w:tcPr>
          <w:p>
            <w:pPr>
              <w:pStyle w:val="52"/>
              <w:jc w:val="center"/>
              <w:rPr>
                <w:kern w:val="0"/>
              </w:rPr>
            </w:pPr>
            <w:r>
              <w:rPr>
                <w:kern w:val="0"/>
              </w:rPr>
              <w:t>0.40</w:t>
            </w:r>
          </w:p>
        </w:tc>
        <w:tc>
          <w:tcPr>
            <w:tcW w:w="846" w:type="dxa"/>
            <w:shd w:val="clear" w:color="auto" w:fill="auto"/>
            <w:vAlign w:val="center"/>
          </w:tcPr>
          <w:p>
            <w:pPr>
              <w:pStyle w:val="52"/>
              <w:jc w:val="center"/>
              <w:rPr>
                <w:kern w:val="0"/>
              </w:rPr>
            </w:pPr>
            <w:r>
              <w:rPr>
                <w:kern w:val="0"/>
              </w:rPr>
              <w:t>0.55</w:t>
            </w:r>
          </w:p>
        </w:tc>
        <w:tc>
          <w:tcPr>
            <w:tcW w:w="368" w:type="dxa"/>
            <w:vAlign w:val="center"/>
          </w:tcPr>
          <w:p>
            <w:pPr>
              <w:pStyle w:val="52"/>
              <w:jc w:val="center"/>
              <w:rPr>
                <w:kern w:val="0"/>
              </w:rPr>
            </w:pPr>
            <w:r>
              <w:rPr>
                <w:kern w:val="0"/>
              </w:rPr>
              <w:t>2</w:t>
            </w:r>
          </w:p>
        </w:tc>
        <w:tc>
          <w:tcPr>
            <w:tcW w:w="636" w:type="dxa"/>
            <w:vAlign w:val="center"/>
          </w:tcPr>
          <w:p>
            <w:pPr>
              <w:pStyle w:val="52"/>
              <w:jc w:val="center"/>
              <w:rPr>
                <w:kern w:val="0"/>
              </w:rPr>
            </w:pPr>
            <w:r>
              <w:rPr>
                <w:kern w:val="0"/>
              </w:rPr>
              <w:t>0.00</w:t>
            </w:r>
          </w:p>
        </w:tc>
        <w:tc>
          <w:tcPr>
            <w:tcW w:w="846" w:type="dxa"/>
            <w:vAlign w:val="center"/>
          </w:tcPr>
          <w:p>
            <w:pPr>
              <w:pStyle w:val="52"/>
              <w:jc w:val="center"/>
              <w:rPr>
                <w:kern w:val="0"/>
              </w:rPr>
            </w:pPr>
            <w:r>
              <w:rPr>
                <w:kern w:val="0"/>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硕士生</w:t>
            </w:r>
          </w:p>
        </w:tc>
        <w:tc>
          <w:tcPr>
            <w:tcW w:w="368" w:type="dxa"/>
            <w:tcBorders>
              <w:left w:val="single" w:color="00B050" w:sz="8" w:space="0"/>
            </w:tcBorders>
            <w:vAlign w:val="center"/>
          </w:tcPr>
          <w:p>
            <w:pPr>
              <w:pStyle w:val="52"/>
              <w:jc w:val="center"/>
              <w:rPr>
                <w:kern w:val="0"/>
              </w:rPr>
            </w:pPr>
            <w:r>
              <w:rPr>
                <w:kern w:val="0"/>
              </w:rPr>
              <w:t>5</w:t>
            </w:r>
          </w:p>
        </w:tc>
        <w:tc>
          <w:tcPr>
            <w:tcW w:w="636" w:type="dxa"/>
            <w:shd w:val="clear" w:color="auto" w:fill="auto"/>
            <w:vAlign w:val="center"/>
          </w:tcPr>
          <w:p>
            <w:pPr>
              <w:pStyle w:val="52"/>
              <w:jc w:val="center"/>
              <w:rPr>
                <w:kern w:val="0"/>
              </w:rPr>
            </w:pPr>
            <w:r>
              <w:rPr>
                <w:kern w:val="0"/>
              </w:rPr>
              <w:t>0.20</w:t>
            </w:r>
          </w:p>
        </w:tc>
        <w:tc>
          <w:tcPr>
            <w:tcW w:w="846" w:type="dxa"/>
            <w:shd w:val="clear" w:color="auto" w:fill="auto"/>
            <w:vAlign w:val="center"/>
          </w:tcPr>
          <w:p>
            <w:pPr>
              <w:pStyle w:val="52"/>
              <w:jc w:val="center"/>
              <w:rPr>
                <w:kern w:val="0"/>
              </w:rPr>
            </w:pPr>
            <w:r>
              <w:rPr>
                <w:kern w:val="0"/>
              </w:rPr>
              <w:t>0.45</w:t>
            </w:r>
          </w:p>
        </w:tc>
        <w:tc>
          <w:tcPr>
            <w:tcW w:w="368" w:type="dxa"/>
            <w:vAlign w:val="center"/>
          </w:tcPr>
          <w:p>
            <w:pPr>
              <w:pStyle w:val="52"/>
              <w:jc w:val="center"/>
              <w:rPr>
                <w:kern w:val="0"/>
              </w:rPr>
            </w:pPr>
            <w:r>
              <w:rPr>
                <w:kern w:val="0"/>
              </w:rPr>
              <w:t>2</w:t>
            </w:r>
          </w:p>
        </w:tc>
        <w:tc>
          <w:tcPr>
            <w:tcW w:w="636" w:type="dxa"/>
            <w:vAlign w:val="center"/>
          </w:tcPr>
          <w:p>
            <w:pPr>
              <w:pStyle w:val="52"/>
              <w:jc w:val="center"/>
              <w:rPr>
                <w:kern w:val="0"/>
              </w:rPr>
            </w:pPr>
            <w:r>
              <w:rPr>
                <w:kern w:val="0"/>
              </w:rPr>
              <w:t>0.00</w:t>
            </w:r>
          </w:p>
        </w:tc>
        <w:tc>
          <w:tcPr>
            <w:tcW w:w="846" w:type="dxa"/>
            <w:vAlign w:val="center"/>
          </w:tcPr>
          <w:p>
            <w:pPr>
              <w:pStyle w:val="52"/>
              <w:jc w:val="center"/>
              <w:rPr>
                <w:kern w:val="0"/>
              </w:rPr>
            </w:pPr>
            <w:r>
              <w:rPr>
                <w:kern w:val="0"/>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博士生</w:t>
            </w:r>
          </w:p>
        </w:tc>
        <w:tc>
          <w:tcPr>
            <w:tcW w:w="368" w:type="dxa"/>
            <w:tcBorders>
              <w:left w:val="single" w:color="00B050" w:sz="8" w:space="0"/>
            </w:tcBorders>
            <w:vAlign w:val="center"/>
          </w:tcPr>
          <w:p>
            <w:pPr>
              <w:pStyle w:val="52"/>
              <w:jc w:val="center"/>
              <w:rPr>
                <w:kern w:val="0"/>
              </w:rPr>
            </w:pPr>
            <w:r>
              <w:rPr>
                <w:kern w:val="0"/>
              </w:rPr>
              <w:t>5</w:t>
            </w:r>
          </w:p>
        </w:tc>
        <w:tc>
          <w:tcPr>
            <w:tcW w:w="636" w:type="dxa"/>
            <w:shd w:val="clear" w:color="auto" w:fill="auto"/>
            <w:vAlign w:val="center"/>
          </w:tcPr>
          <w:p>
            <w:pPr>
              <w:pStyle w:val="52"/>
              <w:jc w:val="center"/>
              <w:rPr>
                <w:kern w:val="0"/>
              </w:rPr>
            </w:pPr>
            <w:r>
              <w:rPr>
                <w:kern w:val="0"/>
              </w:rPr>
              <w:t>0.20</w:t>
            </w:r>
          </w:p>
        </w:tc>
        <w:tc>
          <w:tcPr>
            <w:tcW w:w="846" w:type="dxa"/>
            <w:shd w:val="clear" w:color="auto" w:fill="auto"/>
            <w:vAlign w:val="center"/>
          </w:tcPr>
          <w:p>
            <w:pPr>
              <w:pStyle w:val="52"/>
              <w:jc w:val="center"/>
              <w:rPr>
                <w:kern w:val="0"/>
              </w:rPr>
            </w:pPr>
            <w:r>
              <w:rPr>
                <w:kern w:val="0"/>
              </w:rPr>
              <w:t>0.45</w:t>
            </w:r>
          </w:p>
        </w:tc>
        <w:tc>
          <w:tcPr>
            <w:tcW w:w="368" w:type="dxa"/>
            <w:vAlign w:val="center"/>
          </w:tcPr>
          <w:p>
            <w:pPr>
              <w:pStyle w:val="52"/>
              <w:jc w:val="center"/>
              <w:rPr>
                <w:kern w:val="0"/>
              </w:rPr>
            </w:pPr>
            <w:r>
              <w:rPr>
                <w:kern w:val="0"/>
              </w:rPr>
              <w:t>2</w:t>
            </w:r>
          </w:p>
        </w:tc>
        <w:tc>
          <w:tcPr>
            <w:tcW w:w="636" w:type="dxa"/>
            <w:vAlign w:val="center"/>
          </w:tcPr>
          <w:p>
            <w:pPr>
              <w:pStyle w:val="52"/>
              <w:jc w:val="center"/>
              <w:rPr>
                <w:kern w:val="0"/>
              </w:rPr>
            </w:pPr>
            <w:r>
              <w:rPr>
                <w:kern w:val="0"/>
              </w:rPr>
              <w:t>0.00</w:t>
            </w:r>
          </w:p>
        </w:tc>
        <w:tc>
          <w:tcPr>
            <w:tcW w:w="846" w:type="dxa"/>
            <w:vAlign w:val="center"/>
          </w:tcPr>
          <w:p>
            <w:pPr>
              <w:pStyle w:val="52"/>
              <w:jc w:val="center"/>
              <w:rPr>
                <w:kern w:val="0"/>
              </w:rPr>
            </w:pPr>
            <w:r>
              <w:rPr>
                <w:kern w:val="0"/>
              </w:rPr>
              <w:t>0.00</w:t>
            </w:r>
          </w:p>
        </w:tc>
      </w:tr>
    </w:tbl>
    <w:p>
      <w:pPr>
        <w:pStyle w:val="52"/>
      </w:pPr>
    </w:p>
    <w:p>
      <w:pPr>
        <w:pStyle w:val="44"/>
        <w:spacing w:before="156"/>
      </w:pPr>
      <w:bookmarkStart w:id="240" w:name="_Toc470167442"/>
      <w:r>
        <w:rPr>
          <w:rFonts w:hint="eastAsia"/>
        </w:rPr>
        <w:t>3</w:t>
      </w:r>
      <w:r>
        <w:t>、实际和计划招聘专业</w:t>
      </w:r>
      <w:r>
        <w:rPr>
          <w:rFonts w:hint="eastAsia"/>
        </w:rPr>
        <w:t>情况</w:t>
      </w:r>
      <w:bookmarkEnd w:id="240"/>
    </w:p>
    <w:p>
      <w:pPr>
        <w:pStyle w:val="37"/>
        <w:ind w:firstLine="480"/>
      </w:pPr>
      <w:bookmarkStart w:id="241" w:name="PO_423"/>
      <w:bookmarkEnd w:id="241"/>
      <w:r>
        <w:rPr>
          <w:rFonts w:hint="eastAsia"/>
        </w:rPr>
        <w:t>2016年调查单位实际招聘本校毕业生人数较多的3个专业依次为(本科)表演、(博士)戏剧与影视学、(硕士)戏剧与影视学。调查单位实际招聘人数最少的3个专业依次为(硕士)戏剧、(本科)制片管理、(本科)舞台灯光。</w:t>
      </w:r>
    </w:p>
    <w:p>
      <w:pPr>
        <w:pStyle w:val="37"/>
        <w:ind w:firstLine="480"/>
      </w:pPr>
      <w:r>
        <w:rPr>
          <w:rFonts w:hint="eastAsia"/>
        </w:rPr>
        <w:t>2017年调查单位计划招聘本校毕业生人数较多的3个专业依次为(本科)表演、(硕士)戏剧与影视学、(本科)播音与主持。调查单位计划招聘人数最少的3个专业依次为(硕士)戏剧、(本科)舞台灯光、</w:t>
      </w:r>
      <w:r>
        <w:t>（</w:t>
      </w:r>
      <w:r>
        <w:rPr>
          <w:rFonts w:hint="eastAsia"/>
        </w:rPr>
        <w:t>本科</w:t>
      </w:r>
      <w:r>
        <w:t>）</w:t>
      </w:r>
      <w:r>
        <w:rPr>
          <w:rFonts w:hint="eastAsia"/>
        </w:rPr>
        <w:t>演出</w:t>
      </w:r>
      <w:r>
        <w:t>制作</w:t>
      </w:r>
      <w:r>
        <w:rPr>
          <w:rFonts w:hint="eastAsia"/>
        </w:rPr>
        <w:t>。</w:t>
      </w:r>
    </w:p>
    <w:p>
      <w:pPr>
        <w:pStyle w:val="53"/>
        <w:spacing w:before="312" w:after="156"/>
      </w:pPr>
      <w:r>
        <w:rPr>
          <w:rFonts w:hint="eastAsia"/>
        </w:rPr>
        <w:t>实际招聘和计划招聘专业情况</w:t>
      </w:r>
    </w:p>
    <w:tbl>
      <w:tblPr>
        <w:tblStyle w:val="33"/>
        <w:tblW w:w="9484"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2024"/>
        <w:gridCol w:w="1056"/>
        <w:gridCol w:w="352"/>
        <w:gridCol w:w="1476"/>
        <w:gridCol w:w="846"/>
        <w:gridCol w:w="1056"/>
        <w:gridCol w:w="352"/>
        <w:gridCol w:w="1476"/>
        <w:gridCol w:w="84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2024" w:type="dxa"/>
            <w:vMerge w:val="restart"/>
            <w:shd w:val="clear" w:color="auto" w:fill="auto"/>
            <w:vAlign w:val="center"/>
          </w:tcPr>
          <w:p>
            <w:pPr>
              <w:widowControl/>
              <w:jc w:val="center"/>
              <w:rPr>
                <w:color w:val="000000"/>
                <w:kern w:val="0"/>
                <w:szCs w:val="21"/>
              </w:rPr>
            </w:pPr>
          </w:p>
        </w:tc>
        <w:tc>
          <w:tcPr>
            <w:tcW w:w="3730" w:type="dxa"/>
            <w:gridSpan w:val="4"/>
            <w:shd w:val="clear" w:color="auto" w:fill="auto"/>
            <w:vAlign w:val="center"/>
          </w:tcPr>
          <w:p>
            <w:pPr>
              <w:widowControl/>
              <w:jc w:val="center"/>
              <w:rPr>
                <w:kern w:val="0"/>
                <w:szCs w:val="21"/>
              </w:rPr>
            </w:pPr>
            <w:r>
              <w:rPr>
                <w:rFonts w:hint="eastAsia"/>
                <w:color w:val="000000"/>
                <w:szCs w:val="21"/>
              </w:rPr>
              <w:t>2016年实际招聘</w:t>
            </w:r>
          </w:p>
        </w:tc>
        <w:tc>
          <w:tcPr>
            <w:tcW w:w="3730" w:type="dxa"/>
            <w:gridSpan w:val="4"/>
            <w:shd w:val="clear" w:color="auto" w:fill="auto"/>
            <w:vAlign w:val="center"/>
          </w:tcPr>
          <w:p>
            <w:pPr>
              <w:widowControl/>
              <w:jc w:val="center"/>
              <w:rPr>
                <w:kern w:val="0"/>
                <w:szCs w:val="21"/>
              </w:rPr>
            </w:pPr>
            <w:r>
              <w:rPr>
                <w:rFonts w:hint="eastAsia"/>
                <w:color w:val="000000"/>
                <w:szCs w:val="21"/>
              </w:rPr>
              <w:t>2017年计划招聘</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vMerge w:val="continue"/>
            <w:shd w:val="clear" w:color="auto" w:fill="auto"/>
            <w:vAlign w:val="center"/>
          </w:tcPr>
          <w:p>
            <w:pPr>
              <w:jc w:val="center"/>
              <w:rPr>
                <w:szCs w:val="21"/>
              </w:rPr>
            </w:pPr>
          </w:p>
        </w:tc>
        <w:tc>
          <w:tcPr>
            <w:tcW w:w="1056" w:type="dxa"/>
            <w:shd w:val="clear" w:color="auto" w:fill="auto"/>
            <w:vAlign w:val="center"/>
          </w:tcPr>
          <w:p>
            <w:pPr>
              <w:jc w:val="center"/>
              <w:rPr>
                <w:color w:val="000000"/>
                <w:szCs w:val="21"/>
              </w:rPr>
            </w:pPr>
            <w:r>
              <w:rPr>
                <w:kern w:val="0"/>
                <w:szCs w:val="21"/>
              </w:rPr>
              <w:t>均值排序</w:t>
            </w:r>
          </w:p>
        </w:tc>
        <w:tc>
          <w:tcPr>
            <w:tcW w:w="352" w:type="dxa"/>
            <w:vAlign w:val="center"/>
          </w:tcPr>
          <w:p>
            <w:pPr>
              <w:jc w:val="center"/>
              <w:rPr>
                <w:color w:val="000000"/>
                <w:szCs w:val="21"/>
              </w:rPr>
            </w:pPr>
            <w:r>
              <w:rPr>
                <w:rFonts w:hint="eastAsia"/>
                <w:kern w:val="0"/>
                <w:szCs w:val="21"/>
              </w:rPr>
              <w:t>N</w:t>
            </w:r>
          </w:p>
        </w:tc>
        <w:tc>
          <w:tcPr>
            <w:tcW w:w="1476" w:type="dxa"/>
            <w:vAlign w:val="center"/>
          </w:tcPr>
          <w:p>
            <w:pPr>
              <w:jc w:val="center"/>
              <w:rPr>
                <w:color w:val="000000"/>
                <w:szCs w:val="21"/>
              </w:rPr>
            </w:pPr>
            <w:r>
              <w:rPr>
                <w:kern w:val="0"/>
                <w:szCs w:val="21"/>
              </w:rPr>
              <w:t>招聘权重均值</w:t>
            </w:r>
          </w:p>
        </w:tc>
        <w:tc>
          <w:tcPr>
            <w:tcW w:w="846" w:type="dxa"/>
            <w:vAlign w:val="center"/>
          </w:tcPr>
          <w:p>
            <w:pPr>
              <w:jc w:val="center"/>
              <w:rPr>
                <w:color w:val="000000"/>
                <w:szCs w:val="21"/>
              </w:rPr>
            </w:pPr>
            <w:r>
              <w:rPr>
                <w:kern w:val="0"/>
                <w:szCs w:val="21"/>
              </w:rPr>
              <w:t>标准差</w:t>
            </w:r>
          </w:p>
        </w:tc>
        <w:tc>
          <w:tcPr>
            <w:tcW w:w="1056" w:type="dxa"/>
            <w:shd w:val="clear" w:color="auto" w:fill="auto"/>
            <w:vAlign w:val="center"/>
          </w:tcPr>
          <w:p>
            <w:pPr>
              <w:jc w:val="center"/>
              <w:rPr>
                <w:color w:val="000000"/>
                <w:szCs w:val="21"/>
              </w:rPr>
            </w:pPr>
            <w:r>
              <w:rPr>
                <w:kern w:val="0"/>
                <w:szCs w:val="21"/>
              </w:rPr>
              <w:t>均值排序</w:t>
            </w:r>
          </w:p>
        </w:tc>
        <w:tc>
          <w:tcPr>
            <w:tcW w:w="352" w:type="dxa"/>
            <w:vAlign w:val="center"/>
          </w:tcPr>
          <w:p>
            <w:pPr>
              <w:jc w:val="center"/>
              <w:rPr>
                <w:color w:val="000000"/>
                <w:szCs w:val="21"/>
              </w:rPr>
            </w:pPr>
            <w:r>
              <w:rPr>
                <w:rFonts w:hint="eastAsia"/>
                <w:kern w:val="0"/>
                <w:szCs w:val="21"/>
              </w:rPr>
              <w:t>N</w:t>
            </w:r>
          </w:p>
        </w:tc>
        <w:tc>
          <w:tcPr>
            <w:tcW w:w="1476" w:type="dxa"/>
            <w:shd w:val="clear" w:color="auto" w:fill="auto"/>
            <w:vAlign w:val="center"/>
          </w:tcPr>
          <w:p>
            <w:pPr>
              <w:jc w:val="center"/>
              <w:rPr>
                <w:color w:val="000000"/>
                <w:szCs w:val="21"/>
              </w:rPr>
            </w:pPr>
            <w:r>
              <w:rPr>
                <w:kern w:val="0"/>
                <w:szCs w:val="21"/>
              </w:rPr>
              <w:t>招聘权重均值</w:t>
            </w:r>
          </w:p>
        </w:tc>
        <w:tc>
          <w:tcPr>
            <w:tcW w:w="846" w:type="dxa"/>
            <w:vAlign w:val="center"/>
          </w:tcPr>
          <w:p>
            <w:pPr>
              <w:jc w:val="center"/>
              <w:rPr>
                <w:color w:val="000000"/>
                <w:szCs w:val="21"/>
              </w:rPr>
            </w:pPr>
            <w:r>
              <w:rPr>
                <w:kern w:val="0"/>
                <w:szCs w:val="21"/>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(本科)表演</w:t>
            </w:r>
          </w:p>
        </w:tc>
        <w:tc>
          <w:tcPr>
            <w:tcW w:w="1056" w:type="dxa"/>
            <w:shd w:val="clear" w:color="auto" w:fill="auto"/>
            <w:vAlign w:val="center"/>
          </w:tcPr>
          <w:p>
            <w:pPr>
              <w:jc w:val="center"/>
              <w:rPr>
                <w:color w:val="000000"/>
                <w:szCs w:val="21"/>
              </w:rPr>
            </w:pPr>
            <w:r>
              <w:rPr>
                <w:color w:val="000000"/>
                <w:szCs w:val="21"/>
              </w:rPr>
              <w:t>1</w:t>
            </w:r>
          </w:p>
        </w:tc>
        <w:tc>
          <w:tcPr>
            <w:tcW w:w="352" w:type="dxa"/>
          </w:tcPr>
          <w:p>
            <w:pPr>
              <w:jc w:val="center"/>
              <w:rPr>
                <w:color w:val="000000"/>
                <w:szCs w:val="21"/>
              </w:rPr>
            </w:pPr>
            <w:r>
              <w:rPr>
                <w:color w:val="000000"/>
                <w:szCs w:val="21"/>
              </w:rPr>
              <w:t>3</w:t>
            </w:r>
          </w:p>
        </w:tc>
        <w:tc>
          <w:tcPr>
            <w:tcW w:w="1476" w:type="dxa"/>
          </w:tcPr>
          <w:p>
            <w:pPr>
              <w:jc w:val="center"/>
              <w:rPr>
                <w:color w:val="000000"/>
                <w:szCs w:val="21"/>
              </w:rPr>
            </w:pPr>
            <w:r>
              <w:rPr>
                <w:color w:val="000000"/>
                <w:szCs w:val="21"/>
              </w:rPr>
              <w:t>2.20</w:t>
            </w:r>
          </w:p>
        </w:tc>
        <w:tc>
          <w:tcPr>
            <w:tcW w:w="846" w:type="dxa"/>
          </w:tcPr>
          <w:p>
            <w:pPr>
              <w:jc w:val="center"/>
              <w:rPr>
                <w:color w:val="000000"/>
                <w:szCs w:val="21"/>
              </w:rPr>
            </w:pPr>
            <w:r>
              <w:rPr>
                <w:color w:val="000000"/>
                <w:szCs w:val="21"/>
              </w:rPr>
              <w:t>2.17</w:t>
            </w:r>
          </w:p>
        </w:tc>
        <w:tc>
          <w:tcPr>
            <w:tcW w:w="1056" w:type="dxa"/>
            <w:shd w:val="clear" w:color="auto" w:fill="auto"/>
            <w:vAlign w:val="center"/>
          </w:tcPr>
          <w:p>
            <w:pPr>
              <w:jc w:val="center"/>
              <w:rPr>
                <w:color w:val="000000"/>
                <w:szCs w:val="21"/>
              </w:rPr>
            </w:pPr>
            <w:r>
              <w:rPr>
                <w:color w:val="000000"/>
                <w:szCs w:val="21"/>
              </w:rPr>
              <w:t>1</w:t>
            </w:r>
          </w:p>
        </w:tc>
        <w:tc>
          <w:tcPr>
            <w:tcW w:w="352" w:type="dxa"/>
          </w:tcPr>
          <w:p>
            <w:pPr>
              <w:jc w:val="center"/>
              <w:rPr>
                <w:color w:val="000000"/>
                <w:szCs w:val="21"/>
              </w:rPr>
            </w:pPr>
            <w:r>
              <w:rPr>
                <w:color w:val="000000"/>
                <w:szCs w:val="21"/>
              </w:rPr>
              <w:t>3</w:t>
            </w:r>
          </w:p>
        </w:tc>
        <w:tc>
          <w:tcPr>
            <w:tcW w:w="1476" w:type="dxa"/>
            <w:shd w:val="clear" w:color="auto" w:fill="auto"/>
            <w:vAlign w:val="center"/>
          </w:tcPr>
          <w:p>
            <w:pPr>
              <w:jc w:val="center"/>
              <w:rPr>
                <w:color w:val="000000"/>
                <w:szCs w:val="21"/>
              </w:rPr>
            </w:pPr>
            <w:r>
              <w:rPr>
                <w:color w:val="000000"/>
                <w:szCs w:val="21"/>
              </w:rPr>
              <w:t>2.20</w:t>
            </w:r>
          </w:p>
        </w:tc>
        <w:tc>
          <w:tcPr>
            <w:tcW w:w="846" w:type="dxa"/>
          </w:tcPr>
          <w:p>
            <w:pPr>
              <w:jc w:val="center"/>
              <w:rPr>
                <w:color w:val="000000"/>
                <w:szCs w:val="21"/>
              </w:rPr>
            </w:pPr>
            <w:r>
              <w:rPr>
                <w:color w:val="000000"/>
                <w:szCs w:val="21"/>
              </w:rPr>
              <w:t>2.17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(博士)戏剧与影视学</w:t>
            </w:r>
          </w:p>
        </w:tc>
        <w:tc>
          <w:tcPr>
            <w:tcW w:w="1056" w:type="dxa"/>
            <w:shd w:val="clear" w:color="auto" w:fill="auto"/>
            <w:vAlign w:val="center"/>
          </w:tcPr>
          <w:p>
            <w:pPr>
              <w:jc w:val="center"/>
              <w:rPr>
                <w:color w:val="000000"/>
                <w:szCs w:val="21"/>
              </w:rPr>
            </w:pPr>
            <w:r>
              <w:rPr>
                <w:color w:val="000000"/>
                <w:szCs w:val="21"/>
              </w:rPr>
              <w:t>2</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c>
          <w:tcPr>
            <w:tcW w:w="1056" w:type="dxa"/>
            <w:shd w:val="clear" w:color="auto" w:fill="auto"/>
            <w:vAlign w:val="center"/>
          </w:tcPr>
          <w:p>
            <w:pPr>
              <w:jc w:val="center"/>
              <w:rPr>
                <w:color w:val="000000"/>
                <w:szCs w:val="21"/>
              </w:rPr>
            </w:pPr>
            <w:r>
              <w:rPr>
                <w:color w:val="000000"/>
                <w:szCs w:val="21"/>
              </w:rPr>
              <w:t>4</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(硕士)戏剧与影视学</w:t>
            </w:r>
          </w:p>
        </w:tc>
        <w:tc>
          <w:tcPr>
            <w:tcW w:w="1056" w:type="dxa"/>
            <w:shd w:val="clear" w:color="auto" w:fill="auto"/>
            <w:vAlign w:val="center"/>
          </w:tcPr>
          <w:p>
            <w:pPr>
              <w:jc w:val="center"/>
              <w:rPr>
                <w:color w:val="000000"/>
                <w:szCs w:val="21"/>
              </w:rPr>
            </w:pPr>
            <w:r>
              <w:rPr>
                <w:color w:val="000000"/>
                <w:szCs w:val="21"/>
              </w:rPr>
              <w:t>3</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c>
          <w:tcPr>
            <w:tcW w:w="1056" w:type="dxa"/>
            <w:shd w:val="clear" w:color="auto" w:fill="auto"/>
            <w:vAlign w:val="center"/>
          </w:tcPr>
          <w:p>
            <w:pPr>
              <w:jc w:val="center"/>
              <w:rPr>
                <w:color w:val="000000"/>
                <w:szCs w:val="21"/>
              </w:rPr>
            </w:pPr>
            <w:r>
              <w:rPr>
                <w:color w:val="000000"/>
                <w:szCs w:val="21"/>
              </w:rPr>
              <w:t>2</w:t>
            </w:r>
          </w:p>
        </w:tc>
        <w:tc>
          <w:tcPr>
            <w:tcW w:w="352" w:type="dxa"/>
          </w:tcPr>
          <w:p>
            <w:pPr>
              <w:jc w:val="center"/>
              <w:rPr>
                <w:color w:val="000000"/>
                <w:szCs w:val="21"/>
              </w:rPr>
            </w:pPr>
            <w:r>
              <w:rPr>
                <w:color w:val="000000"/>
                <w:szCs w:val="21"/>
              </w:rPr>
              <w:t>2</w:t>
            </w:r>
          </w:p>
        </w:tc>
        <w:tc>
          <w:tcPr>
            <w:tcW w:w="1476" w:type="dxa"/>
            <w:shd w:val="clear" w:color="auto" w:fill="auto"/>
            <w:vAlign w:val="center"/>
          </w:tcPr>
          <w:p>
            <w:pPr>
              <w:jc w:val="center"/>
              <w:rPr>
                <w:color w:val="000000"/>
                <w:szCs w:val="21"/>
              </w:rPr>
            </w:pPr>
            <w:r>
              <w:rPr>
                <w:color w:val="000000"/>
                <w:szCs w:val="21"/>
              </w:rPr>
              <w:t>1.60</w:t>
            </w:r>
          </w:p>
        </w:tc>
        <w:tc>
          <w:tcPr>
            <w:tcW w:w="846" w:type="dxa"/>
          </w:tcPr>
          <w:p>
            <w:pPr>
              <w:jc w:val="center"/>
              <w:rPr>
                <w:color w:val="000000"/>
                <w:szCs w:val="21"/>
              </w:rPr>
            </w:pPr>
            <w:r>
              <w:rPr>
                <w:color w:val="000000"/>
                <w:szCs w:val="21"/>
              </w:rPr>
              <w:t>2.30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70" w:hRule="atLeast"/>
          <w:jc w:val="center"/>
        </w:trPr>
        <w:tc>
          <w:tcPr>
            <w:tcW w:w="2024" w:type="dxa"/>
            <w:shd w:val="clear" w:color="auto" w:fill="auto"/>
            <w:vAlign w:val="center"/>
          </w:tcPr>
          <w:p>
            <w:pPr>
              <w:jc w:val="center"/>
              <w:rPr>
                <w:szCs w:val="21"/>
              </w:rPr>
            </w:pPr>
            <w:r>
              <w:rPr>
                <w:rFonts w:hint="eastAsia"/>
                <w:szCs w:val="21"/>
              </w:rPr>
              <w:t>(本科)演出制作</w:t>
            </w:r>
          </w:p>
        </w:tc>
        <w:tc>
          <w:tcPr>
            <w:tcW w:w="1056" w:type="dxa"/>
            <w:shd w:val="clear" w:color="auto" w:fill="auto"/>
            <w:vAlign w:val="center"/>
          </w:tcPr>
          <w:p>
            <w:pPr>
              <w:jc w:val="center"/>
              <w:rPr>
                <w:color w:val="000000"/>
                <w:szCs w:val="21"/>
              </w:rPr>
            </w:pPr>
            <w:r>
              <w:rPr>
                <w:color w:val="000000"/>
                <w:szCs w:val="21"/>
              </w:rPr>
              <w:t>4</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c>
          <w:tcPr>
            <w:tcW w:w="1056" w:type="dxa"/>
            <w:shd w:val="clear" w:color="auto" w:fill="auto"/>
            <w:vAlign w:val="center"/>
          </w:tcPr>
          <w:p>
            <w:pPr>
              <w:jc w:val="center"/>
              <w:rPr>
                <w:color w:val="000000"/>
                <w:szCs w:val="21"/>
              </w:rPr>
            </w:pPr>
            <w:r>
              <w:rPr>
                <w:color w:val="000000"/>
                <w:szCs w:val="21"/>
              </w:rPr>
              <w:t>8</w:t>
            </w:r>
          </w:p>
        </w:tc>
        <w:tc>
          <w:tcPr>
            <w:tcW w:w="352" w:type="dxa"/>
          </w:tcPr>
          <w:p>
            <w:pPr>
              <w:jc w:val="center"/>
              <w:rPr>
                <w:color w:val="000000"/>
                <w:szCs w:val="21"/>
              </w:rPr>
            </w:pPr>
            <w:r>
              <w:rPr>
                <w:color w:val="000000"/>
                <w:szCs w:val="21"/>
              </w:rPr>
              <w:t>2</w:t>
            </w:r>
          </w:p>
        </w:tc>
        <w:tc>
          <w:tcPr>
            <w:tcW w:w="1476" w:type="dxa"/>
            <w:shd w:val="clear" w:color="auto" w:fill="auto"/>
            <w:vAlign w:val="center"/>
          </w:tcPr>
          <w:p>
            <w:pPr>
              <w:jc w:val="center"/>
              <w:rPr>
                <w:color w:val="000000"/>
                <w:szCs w:val="21"/>
              </w:rPr>
            </w:pPr>
            <w:r>
              <w:rPr>
                <w:color w:val="000000"/>
                <w:szCs w:val="21"/>
              </w:rPr>
              <w:t>0.40</w:t>
            </w:r>
          </w:p>
        </w:tc>
        <w:tc>
          <w:tcPr>
            <w:tcW w:w="846" w:type="dxa"/>
          </w:tcPr>
          <w:p>
            <w:pPr>
              <w:jc w:val="center"/>
              <w:rPr>
                <w:color w:val="000000"/>
                <w:szCs w:val="21"/>
              </w:rPr>
            </w:pPr>
            <w:r>
              <w:rPr>
                <w:color w:val="000000"/>
                <w:szCs w:val="21"/>
              </w:rPr>
              <w:t>0.55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(本科)导演</w:t>
            </w:r>
          </w:p>
        </w:tc>
        <w:tc>
          <w:tcPr>
            <w:tcW w:w="1056" w:type="dxa"/>
            <w:shd w:val="clear" w:color="auto" w:fill="auto"/>
            <w:vAlign w:val="center"/>
          </w:tcPr>
          <w:p>
            <w:pPr>
              <w:jc w:val="center"/>
              <w:rPr>
                <w:color w:val="000000"/>
                <w:szCs w:val="21"/>
              </w:rPr>
            </w:pPr>
            <w:r>
              <w:rPr>
                <w:color w:val="000000"/>
                <w:szCs w:val="21"/>
              </w:rPr>
              <w:t>5</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c>
          <w:tcPr>
            <w:tcW w:w="1056" w:type="dxa"/>
            <w:shd w:val="clear" w:color="auto" w:fill="auto"/>
            <w:vAlign w:val="center"/>
          </w:tcPr>
          <w:p>
            <w:pPr>
              <w:jc w:val="center"/>
              <w:rPr>
                <w:color w:val="000000"/>
                <w:szCs w:val="21"/>
              </w:rPr>
            </w:pPr>
            <w:r>
              <w:rPr>
                <w:color w:val="000000"/>
                <w:szCs w:val="21"/>
              </w:rPr>
              <w:t>5</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1.00</w:t>
            </w:r>
          </w:p>
        </w:tc>
        <w:tc>
          <w:tcPr>
            <w:tcW w:w="846" w:type="dxa"/>
          </w:tcPr>
          <w:p>
            <w:pPr>
              <w:jc w:val="center"/>
              <w:rPr>
                <w:color w:val="000000"/>
                <w:szCs w:val="21"/>
              </w:rPr>
            </w:pPr>
            <w:r>
              <w:rPr>
                <w:color w:val="000000"/>
                <w:szCs w:val="21"/>
              </w:rPr>
              <w:t>2.24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(本科)播音与主持</w:t>
            </w:r>
          </w:p>
        </w:tc>
        <w:tc>
          <w:tcPr>
            <w:tcW w:w="1056" w:type="dxa"/>
            <w:shd w:val="clear" w:color="auto" w:fill="auto"/>
            <w:vAlign w:val="center"/>
          </w:tcPr>
          <w:p>
            <w:pPr>
              <w:jc w:val="center"/>
              <w:rPr>
                <w:color w:val="000000"/>
                <w:szCs w:val="21"/>
              </w:rPr>
            </w:pPr>
            <w:r>
              <w:rPr>
                <w:color w:val="000000"/>
                <w:szCs w:val="21"/>
              </w:rPr>
              <w:t>6</w:t>
            </w:r>
          </w:p>
        </w:tc>
        <w:tc>
          <w:tcPr>
            <w:tcW w:w="352" w:type="dxa"/>
          </w:tcPr>
          <w:p>
            <w:pPr>
              <w:jc w:val="center"/>
              <w:rPr>
                <w:color w:val="000000"/>
                <w:szCs w:val="21"/>
              </w:rPr>
            </w:pPr>
            <w:r>
              <w:rPr>
                <w:color w:val="000000"/>
                <w:szCs w:val="21"/>
              </w:rPr>
              <w:t>2</w:t>
            </w:r>
          </w:p>
        </w:tc>
        <w:tc>
          <w:tcPr>
            <w:tcW w:w="1476" w:type="dxa"/>
          </w:tcPr>
          <w:p>
            <w:pPr>
              <w:jc w:val="center"/>
              <w:rPr>
                <w:color w:val="000000"/>
                <w:szCs w:val="21"/>
              </w:rPr>
            </w:pPr>
            <w:r>
              <w:rPr>
                <w:color w:val="000000"/>
                <w:szCs w:val="21"/>
              </w:rPr>
              <w:t>0.80</w:t>
            </w:r>
          </w:p>
        </w:tc>
        <w:tc>
          <w:tcPr>
            <w:tcW w:w="846" w:type="dxa"/>
          </w:tcPr>
          <w:p>
            <w:pPr>
              <w:jc w:val="center"/>
              <w:rPr>
                <w:color w:val="000000"/>
                <w:szCs w:val="21"/>
              </w:rPr>
            </w:pPr>
            <w:r>
              <w:rPr>
                <w:color w:val="000000"/>
                <w:szCs w:val="21"/>
              </w:rPr>
              <w:t>1.30</w:t>
            </w:r>
          </w:p>
        </w:tc>
        <w:tc>
          <w:tcPr>
            <w:tcW w:w="1056" w:type="dxa"/>
            <w:shd w:val="clear" w:color="auto" w:fill="auto"/>
            <w:vAlign w:val="center"/>
          </w:tcPr>
          <w:p>
            <w:pPr>
              <w:jc w:val="center"/>
              <w:rPr>
                <w:color w:val="000000"/>
                <w:szCs w:val="21"/>
              </w:rPr>
            </w:pPr>
            <w:r>
              <w:rPr>
                <w:color w:val="000000"/>
                <w:szCs w:val="21"/>
              </w:rPr>
              <w:t>3</w:t>
            </w:r>
          </w:p>
        </w:tc>
        <w:tc>
          <w:tcPr>
            <w:tcW w:w="352" w:type="dxa"/>
          </w:tcPr>
          <w:p>
            <w:pPr>
              <w:jc w:val="center"/>
              <w:rPr>
                <w:color w:val="000000"/>
                <w:szCs w:val="21"/>
              </w:rPr>
            </w:pPr>
            <w:r>
              <w:rPr>
                <w:color w:val="000000"/>
                <w:szCs w:val="21"/>
              </w:rPr>
              <w:t>2</w:t>
            </w:r>
          </w:p>
        </w:tc>
        <w:tc>
          <w:tcPr>
            <w:tcW w:w="1476" w:type="dxa"/>
            <w:shd w:val="clear" w:color="auto" w:fill="auto"/>
            <w:vAlign w:val="center"/>
          </w:tcPr>
          <w:p>
            <w:pPr>
              <w:jc w:val="center"/>
              <w:rPr>
                <w:color w:val="000000"/>
                <w:szCs w:val="21"/>
              </w:rPr>
            </w:pPr>
            <w:r>
              <w:rPr>
                <w:color w:val="000000"/>
                <w:szCs w:val="21"/>
              </w:rPr>
              <w:t>1.20</w:t>
            </w:r>
          </w:p>
        </w:tc>
        <w:tc>
          <w:tcPr>
            <w:tcW w:w="846" w:type="dxa"/>
          </w:tcPr>
          <w:p>
            <w:pPr>
              <w:jc w:val="center"/>
              <w:rPr>
                <w:color w:val="000000"/>
                <w:szCs w:val="21"/>
              </w:rPr>
            </w:pPr>
            <w:r>
              <w:rPr>
                <w:color w:val="000000"/>
                <w:szCs w:val="21"/>
              </w:rPr>
              <w:t>2.17</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(本科)舞台设计</w:t>
            </w:r>
          </w:p>
        </w:tc>
        <w:tc>
          <w:tcPr>
            <w:tcW w:w="1056" w:type="dxa"/>
            <w:shd w:val="clear" w:color="auto" w:fill="auto"/>
            <w:vAlign w:val="center"/>
          </w:tcPr>
          <w:p>
            <w:pPr>
              <w:jc w:val="center"/>
              <w:rPr>
                <w:color w:val="000000"/>
                <w:szCs w:val="21"/>
              </w:rPr>
            </w:pPr>
            <w:r>
              <w:rPr>
                <w:color w:val="000000"/>
                <w:szCs w:val="21"/>
              </w:rPr>
              <w:t>7</w:t>
            </w:r>
          </w:p>
        </w:tc>
        <w:tc>
          <w:tcPr>
            <w:tcW w:w="352" w:type="dxa"/>
          </w:tcPr>
          <w:p>
            <w:pPr>
              <w:jc w:val="center"/>
              <w:rPr>
                <w:color w:val="000000"/>
                <w:szCs w:val="21"/>
              </w:rPr>
            </w:pPr>
            <w:r>
              <w:rPr>
                <w:color w:val="000000"/>
                <w:szCs w:val="21"/>
              </w:rPr>
              <w:t>2</w:t>
            </w:r>
          </w:p>
        </w:tc>
        <w:tc>
          <w:tcPr>
            <w:tcW w:w="1476" w:type="dxa"/>
          </w:tcPr>
          <w:p>
            <w:pPr>
              <w:jc w:val="center"/>
              <w:rPr>
                <w:color w:val="000000"/>
                <w:szCs w:val="21"/>
              </w:rPr>
            </w:pPr>
            <w:r>
              <w:rPr>
                <w:color w:val="000000"/>
                <w:szCs w:val="21"/>
              </w:rPr>
              <w:t>0.80</w:t>
            </w:r>
          </w:p>
        </w:tc>
        <w:tc>
          <w:tcPr>
            <w:tcW w:w="846" w:type="dxa"/>
          </w:tcPr>
          <w:p>
            <w:pPr>
              <w:jc w:val="center"/>
              <w:rPr>
                <w:color w:val="000000"/>
                <w:szCs w:val="21"/>
              </w:rPr>
            </w:pPr>
            <w:r>
              <w:rPr>
                <w:color w:val="000000"/>
                <w:szCs w:val="21"/>
              </w:rPr>
              <w:t>1.30</w:t>
            </w:r>
          </w:p>
        </w:tc>
        <w:tc>
          <w:tcPr>
            <w:tcW w:w="1056" w:type="dxa"/>
            <w:shd w:val="clear" w:color="auto" w:fill="auto"/>
            <w:vAlign w:val="center"/>
          </w:tcPr>
          <w:p>
            <w:pPr>
              <w:jc w:val="center"/>
              <w:rPr>
                <w:color w:val="000000"/>
                <w:szCs w:val="21"/>
              </w:rPr>
            </w:pPr>
            <w:r>
              <w:rPr>
                <w:color w:val="000000"/>
                <w:szCs w:val="21"/>
              </w:rPr>
              <w:t>7</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0.60</w:t>
            </w:r>
          </w:p>
        </w:tc>
        <w:tc>
          <w:tcPr>
            <w:tcW w:w="846" w:type="dxa"/>
          </w:tcPr>
          <w:p>
            <w:pPr>
              <w:jc w:val="center"/>
              <w:rPr>
                <w:color w:val="000000"/>
                <w:szCs w:val="21"/>
              </w:rPr>
            </w:pPr>
            <w:r>
              <w:rPr>
                <w:color w:val="000000"/>
                <w:szCs w:val="21"/>
              </w:rPr>
              <w:t>1.34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(博士)艺术学理论</w:t>
            </w:r>
          </w:p>
        </w:tc>
        <w:tc>
          <w:tcPr>
            <w:tcW w:w="1056" w:type="dxa"/>
            <w:shd w:val="clear" w:color="auto" w:fill="auto"/>
            <w:vAlign w:val="center"/>
          </w:tcPr>
          <w:p>
            <w:pPr>
              <w:jc w:val="center"/>
              <w:rPr>
                <w:color w:val="000000"/>
                <w:szCs w:val="21"/>
              </w:rPr>
            </w:pPr>
            <w:r>
              <w:rPr>
                <w:color w:val="000000"/>
                <w:szCs w:val="21"/>
              </w:rPr>
              <w:t>8</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0.60</w:t>
            </w:r>
          </w:p>
        </w:tc>
        <w:tc>
          <w:tcPr>
            <w:tcW w:w="846" w:type="dxa"/>
          </w:tcPr>
          <w:p>
            <w:pPr>
              <w:jc w:val="center"/>
              <w:rPr>
                <w:color w:val="000000"/>
                <w:szCs w:val="21"/>
              </w:rPr>
            </w:pPr>
            <w:r>
              <w:rPr>
                <w:color w:val="000000"/>
                <w:szCs w:val="21"/>
              </w:rPr>
              <w:t>1.34</w:t>
            </w:r>
          </w:p>
        </w:tc>
        <w:tc>
          <w:tcPr>
            <w:tcW w:w="1056" w:type="dxa"/>
            <w:shd w:val="clear" w:color="auto" w:fill="auto"/>
            <w:vAlign w:val="center"/>
          </w:tcPr>
          <w:p>
            <w:pPr>
              <w:jc w:val="center"/>
              <w:rPr>
                <w:color w:val="000000"/>
                <w:szCs w:val="21"/>
              </w:rPr>
            </w:pPr>
            <w:r>
              <w:rPr>
                <w:color w:val="000000"/>
                <w:szCs w:val="21"/>
              </w:rPr>
              <w:t>6</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0.60</w:t>
            </w:r>
          </w:p>
        </w:tc>
        <w:tc>
          <w:tcPr>
            <w:tcW w:w="846" w:type="dxa"/>
          </w:tcPr>
          <w:p>
            <w:pPr>
              <w:jc w:val="center"/>
              <w:rPr>
                <w:color w:val="000000"/>
                <w:szCs w:val="21"/>
              </w:rPr>
            </w:pPr>
            <w:r>
              <w:rPr>
                <w:color w:val="000000"/>
                <w:szCs w:val="21"/>
              </w:rPr>
              <w:t>1.34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(硕士)戏剧</w:t>
            </w:r>
          </w:p>
        </w:tc>
        <w:tc>
          <w:tcPr>
            <w:tcW w:w="1056" w:type="dxa"/>
            <w:shd w:val="clear" w:color="auto" w:fill="auto"/>
            <w:vAlign w:val="center"/>
          </w:tcPr>
          <w:p>
            <w:pPr>
              <w:jc w:val="center"/>
              <w:rPr>
                <w:color w:val="000000"/>
                <w:szCs w:val="21"/>
              </w:rPr>
            </w:pPr>
            <w:r>
              <w:rPr>
                <w:color w:val="000000"/>
                <w:szCs w:val="21"/>
              </w:rPr>
              <w:t>9</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0.20</w:t>
            </w:r>
          </w:p>
        </w:tc>
        <w:tc>
          <w:tcPr>
            <w:tcW w:w="846" w:type="dxa"/>
          </w:tcPr>
          <w:p>
            <w:pPr>
              <w:jc w:val="center"/>
              <w:rPr>
                <w:color w:val="000000"/>
                <w:szCs w:val="21"/>
              </w:rPr>
            </w:pPr>
            <w:r>
              <w:rPr>
                <w:color w:val="000000"/>
                <w:szCs w:val="21"/>
              </w:rPr>
              <w:t>0.45</w:t>
            </w:r>
          </w:p>
        </w:tc>
        <w:tc>
          <w:tcPr>
            <w:tcW w:w="1056" w:type="dxa"/>
            <w:shd w:val="clear" w:color="auto" w:fill="auto"/>
            <w:vAlign w:val="center"/>
          </w:tcPr>
          <w:p>
            <w:pPr>
              <w:jc w:val="center"/>
              <w:rPr>
                <w:color w:val="000000"/>
                <w:szCs w:val="21"/>
              </w:rPr>
            </w:pPr>
            <w:r>
              <w:rPr>
                <w:color w:val="000000"/>
                <w:szCs w:val="21"/>
              </w:rPr>
              <w:t>9</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0.20</w:t>
            </w:r>
          </w:p>
        </w:tc>
        <w:tc>
          <w:tcPr>
            <w:tcW w:w="846" w:type="dxa"/>
          </w:tcPr>
          <w:p>
            <w:pPr>
              <w:jc w:val="center"/>
              <w:rPr>
                <w:color w:val="000000"/>
                <w:szCs w:val="21"/>
              </w:rPr>
            </w:pPr>
            <w:r>
              <w:rPr>
                <w:color w:val="000000"/>
                <w:szCs w:val="21"/>
              </w:rPr>
              <w:t>0.45</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PrEx>
        <w:trPr>
          <w:trHeight w:val="270" w:hRule="atLeast"/>
          <w:jc w:val="center"/>
        </w:trPr>
        <w:tc>
          <w:tcPr>
            <w:tcW w:w="2024" w:type="dxa"/>
            <w:shd w:val="clear" w:color="auto" w:fill="auto"/>
            <w:vAlign w:val="center"/>
          </w:tcPr>
          <w:p>
            <w:pPr>
              <w:jc w:val="center"/>
              <w:rPr>
                <w:szCs w:val="21"/>
              </w:rPr>
            </w:pPr>
            <w:r>
              <w:rPr>
                <w:rFonts w:hint="eastAsia"/>
                <w:szCs w:val="21"/>
              </w:rPr>
              <w:t>(本科)制片管理</w:t>
            </w:r>
          </w:p>
        </w:tc>
        <w:tc>
          <w:tcPr>
            <w:tcW w:w="1056" w:type="dxa"/>
            <w:shd w:val="clear" w:color="auto" w:fill="auto"/>
            <w:vAlign w:val="center"/>
          </w:tcPr>
          <w:p>
            <w:pPr>
              <w:jc w:val="center"/>
              <w:rPr>
                <w:color w:val="000000"/>
                <w:szCs w:val="21"/>
              </w:rPr>
            </w:pPr>
            <w:r>
              <w:rPr>
                <w:color w:val="000000"/>
                <w:szCs w:val="21"/>
              </w:rPr>
              <w:t>10</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0.20</w:t>
            </w:r>
          </w:p>
        </w:tc>
        <w:tc>
          <w:tcPr>
            <w:tcW w:w="846" w:type="dxa"/>
          </w:tcPr>
          <w:p>
            <w:pPr>
              <w:jc w:val="center"/>
              <w:rPr>
                <w:color w:val="000000"/>
                <w:szCs w:val="21"/>
              </w:rPr>
            </w:pPr>
            <w:r>
              <w:rPr>
                <w:color w:val="000000"/>
                <w:szCs w:val="21"/>
              </w:rPr>
              <w:t>0.45</w:t>
            </w:r>
          </w:p>
        </w:tc>
        <w:tc>
          <w:tcPr>
            <w:tcW w:w="1056" w:type="dxa"/>
            <w:shd w:val="clear" w:color="auto" w:fill="auto"/>
            <w:vAlign w:val="center"/>
          </w:tcPr>
          <w:p>
            <w:pPr>
              <w:jc w:val="center"/>
              <w:rPr>
                <w:color w:val="000000"/>
                <w:szCs w:val="21"/>
              </w:rPr>
            </w:pPr>
            <w:r>
              <w:rPr>
                <w:color w:val="000000"/>
                <w:szCs w:val="21"/>
              </w:rPr>
              <w:t>11</w:t>
            </w:r>
          </w:p>
        </w:tc>
        <w:tc>
          <w:tcPr>
            <w:tcW w:w="352" w:type="dxa"/>
          </w:tcPr>
          <w:p>
            <w:pPr>
              <w:jc w:val="center"/>
              <w:rPr>
                <w:color w:val="000000"/>
                <w:szCs w:val="21"/>
              </w:rPr>
            </w:pPr>
            <w:r>
              <w:rPr>
                <w:color w:val="000000"/>
                <w:szCs w:val="21"/>
              </w:rPr>
              <w:t>0</w:t>
            </w:r>
          </w:p>
        </w:tc>
        <w:tc>
          <w:tcPr>
            <w:tcW w:w="1476" w:type="dxa"/>
            <w:shd w:val="clear" w:color="auto" w:fill="auto"/>
            <w:vAlign w:val="center"/>
          </w:tcPr>
          <w:p>
            <w:pPr>
              <w:jc w:val="center"/>
              <w:rPr>
                <w:color w:val="000000"/>
                <w:szCs w:val="21"/>
              </w:rPr>
            </w:pPr>
            <w:r>
              <w:rPr>
                <w:color w:val="000000"/>
                <w:szCs w:val="21"/>
              </w:rPr>
              <w:t>0.00</w:t>
            </w:r>
          </w:p>
        </w:tc>
        <w:tc>
          <w:tcPr>
            <w:tcW w:w="846" w:type="dxa"/>
          </w:tcPr>
          <w:p>
            <w:pPr>
              <w:jc w:val="center"/>
              <w:rPr>
                <w:color w:val="000000"/>
                <w:szCs w:val="21"/>
              </w:rPr>
            </w:pPr>
            <w:r>
              <w:rPr>
                <w:color w:val="000000"/>
                <w:szCs w:val="21"/>
              </w:rPr>
              <w:t>0.00</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2024" w:type="dxa"/>
            <w:shd w:val="clear" w:color="auto" w:fill="auto"/>
            <w:vAlign w:val="center"/>
          </w:tcPr>
          <w:p>
            <w:pPr>
              <w:jc w:val="center"/>
              <w:rPr>
                <w:szCs w:val="21"/>
              </w:rPr>
            </w:pPr>
            <w:r>
              <w:rPr>
                <w:rFonts w:hint="eastAsia"/>
                <w:szCs w:val="21"/>
              </w:rPr>
              <w:t>(本科)舞台灯光</w:t>
            </w:r>
          </w:p>
        </w:tc>
        <w:tc>
          <w:tcPr>
            <w:tcW w:w="1056" w:type="dxa"/>
            <w:shd w:val="clear" w:color="auto" w:fill="auto"/>
            <w:vAlign w:val="center"/>
          </w:tcPr>
          <w:p>
            <w:pPr>
              <w:jc w:val="center"/>
              <w:rPr>
                <w:color w:val="000000"/>
                <w:szCs w:val="21"/>
              </w:rPr>
            </w:pPr>
            <w:r>
              <w:rPr>
                <w:color w:val="000000"/>
                <w:szCs w:val="21"/>
              </w:rPr>
              <w:t>11</w:t>
            </w:r>
          </w:p>
        </w:tc>
        <w:tc>
          <w:tcPr>
            <w:tcW w:w="352" w:type="dxa"/>
          </w:tcPr>
          <w:p>
            <w:pPr>
              <w:jc w:val="center"/>
              <w:rPr>
                <w:color w:val="000000"/>
                <w:szCs w:val="21"/>
              </w:rPr>
            </w:pPr>
            <w:r>
              <w:rPr>
                <w:color w:val="000000"/>
                <w:szCs w:val="21"/>
              </w:rPr>
              <w:t>1</w:t>
            </w:r>
          </w:p>
        </w:tc>
        <w:tc>
          <w:tcPr>
            <w:tcW w:w="1476" w:type="dxa"/>
          </w:tcPr>
          <w:p>
            <w:pPr>
              <w:jc w:val="center"/>
              <w:rPr>
                <w:color w:val="000000"/>
                <w:szCs w:val="21"/>
              </w:rPr>
            </w:pPr>
            <w:r>
              <w:rPr>
                <w:color w:val="000000"/>
                <w:szCs w:val="21"/>
              </w:rPr>
              <w:t>0.20</w:t>
            </w:r>
          </w:p>
        </w:tc>
        <w:tc>
          <w:tcPr>
            <w:tcW w:w="846" w:type="dxa"/>
          </w:tcPr>
          <w:p>
            <w:pPr>
              <w:jc w:val="center"/>
              <w:rPr>
                <w:color w:val="000000"/>
                <w:szCs w:val="21"/>
              </w:rPr>
            </w:pPr>
            <w:r>
              <w:rPr>
                <w:color w:val="000000"/>
                <w:szCs w:val="21"/>
              </w:rPr>
              <w:t>0.45</w:t>
            </w:r>
          </w:p>
        </w:tc>
        <w:tc>
          <w:tcPr>
            <w:tcW w:w="1056" w:type="dxa"/>
            <w:shd w:val="clear" w:color="auto" w:fill="auto"/>
            <w:vAlign w:val="center"/>
          </w:tcPr>
          <w:p>
            <w:pPr>
              <w:jc w:val="center"/>
              <w:rPr>
                <w:color w:val="000000"/>
                <w:szCs w:val="21"/>
              </w:rPr>
            </w:pPr>
            <w:r>
              <w:rPr>
                <w:color w:val="000000"/>
                <w:szCs w:val="21"/>
              </w:rPr>
              <w:t>10</w:t>
            </w:r>
          </w:p>
        </w:tc>
        <w:tc>
          <w:tcPr>
            <w:tcW w:w="352" w:type="dxa"/>
          </w:tcPr>
          <w:p>
            <w:pPr>
              <w:jc w:val="center"/>
              <w:rPr>
                <w:color w:val="000000"/>
                <w:szCs w:val="21"/>
              </w:rPr>
            </w:pPr>
            <w:r>
              <w:rPr>
                <w:color w:val="000000"/>
                <w:szCs w:val="21"/>
              </w:rPr>
              <w:t>1</w:t>
            </w:r>
          </w:p>
        </w:tc>
        <w:tc>
          <w:tcPr>
            <w:tcW w:w="1476" w:type="dxa"/>
            <w:shd w:val="clear" w:color="auto" w:fill="auto"/>
            <w:vAlign w:val="center"/>
          </w:tcPr>
          <w:p>
            <w:pPr>
              <w:jc w:val="center"/>
              <w:rPr>
                <w:color w:val="000000"/>
                <w:szCs w:val="21"/>
              </w:rPr>
            </w:pPr>
            <w:r>
              <w:rPr>
                <w:color w:val="000000"/>
                <w:szCs w:val="21"/>
              </w:rPr>
              <w:t>0.20</w:t>
            </w:r>
          </w:p>
        </w:tc>
        <w:tc>
          <w:tcPr>
            <w:tcW w:w="846" w:type="dxa"/>
          </w:tcPr>
          <w:p>
            <w:pPr>
              <w:jc w:val="center"/>
              <w:rPr>
                <w:color w:val="000000"/>
                <w:szCs w:val="21"/>
              </w:rPr>
            </w:pPr>
            <w:r>
              <w:rPr>
                <w:color w:val="000000"/>
                <w:szCs w:val="21"/>
              </w:rPr>
              <w:t>0.45</w:t>
            </w:r>
          </w:p>
        </w:tc>
      </w:tr>
    </w:tbl>
    <w:p>
      <w:pPr>
        <w:pStyle w:val="52"/>
      </w:pPr>
    </w:p>
    <w:p>
      <w:pPr>
        <w:pStyle w:val="44"/>
        <w:spacing w:before="156"/>
      </w:pPr>
      <w:bookmarkStart w:id="242" w:name="_Toc470167443"/>
      <w:r>
        <w:rPr>
          <w:rFonts w:hint="eastAsia"/>
        </w:rPr>
        <w:t>4、薪酬和</w:t>
      </w:r>
      <w:r>
        <w:t>福利</w:t>
      </w:r>
      <w:r>
        <w:rPr>
          <w:rFonts w:hint="eastAsia"/>
        </w:rPr>
        <w:t>保障情况</w:t>
      </w:r>
      <w:bookmarkEnd w:id="242"/>
    </w:p>
    <w:p>
      <w:pPr>
        <w:pStyle w:val="37"/>
        <w:ind w:firstLine="480"/>
      </w:pPr>
      <w:bookmarkStart w:id="243" w:name="PO_42411"/>
      <w:bookmarkEnd w:id="243"/>
      <w:r>
        <w:rPr>
          <w:rFonts w:hint="eastAsia"/>
        </w:rPr>
        <w:t>关于薪酬情况，调查单位为2016届本校专科生提供的平均年薪为3.00万元，本科生为5.00万元，硕士生为6.00万元，博士生为10.60万元。</w:t>
      </w:r>
    </w:p>
    <w:p>
      <w:pPr>
        <w:pStyle w:val="53"/>
        <w:spacing w:before="312" w:after="156"/>
      </w:pPr>
      <w:r>
        <w:rPr>
          <w:rFonts w:hint="eastAsia"/>
        </w:rPr>
        <w:t>毕业生薪酬情况（单位：万元）</w:t>
      </w:r>
    </w:p>
    <w:tbl>
      <w:tblPr>
        <w:tblStyle w:val="33"/>
        <w:tblW w:w="3385" w:type="dxa"/>
        <w:jc w:val="center"/>
        <w:tblInd w:w="0" w:type="dxa"/>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
      <w:tblGrid>
        <w:gridCol w:w="846"/>
        <w:gridCol w:w="368"/>
        <w:gridCol w:w="636"/>
        <w:gridCol w:w="689"/>
        <w:gridCol w:w="846"/>
      </w:tblGrid>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85" w:hRule="atLeast"/>
          <w:jc w:val="center"/>
        </w:trPr>
        <w:tc>
          <w:tcPr>
            <w:tcW w:w="846" w:type="dxa"/>
            <w:tcBorders>
              <w:right w:val="single" w:color="00B050" w:sz="8" w:space="0"/>
            </w:tcBorders>
          </w:tcPr>
          <w:p>
            <w:pPr>
              <w:pStyle w:val="52"/>
              <w:jc w:val="center"/>
              <w:rPr>
                <w:kern w:val="0"/>
              </w:rPr>
            </w:pPr>
          </w:p>
        </w:tc>
        <w:tc>
          <w:tcPr>
            <w:tcW w:w="368" w:type="dxa"/>
            <w:tcBorders>
              <w:left w:val="single" w:color="00B050" w:sz="8" w:space="0"/>
            </w:tcBorders>
            <w:vAlign w:val="center"/>
          </w:tcPr>
          <w:p>
            <w:pPr>
              <w:pStyle w:val="52"/>
              <w:jc w:val="center"/>
              <w:rPr>
                <w:kern w:val="0"/>
              </w:rPr>
            </w:pPr>
            <w:r>
              <w:rPr>
                <w:rFonts w:hint="eastAsia"/>
                <w:kern w:val="0"/>
              </w:rPr>
              <w:t>N</w:t>
            </w:r>
          </w:p>
        </w:tc>
        <w:tc>
          <w:tcPr>
            <w:tcW w:w="636" w:type="dxa"/>
            <w:vAlign w:val="center"/>
          </w:tcPr>
          <w:p>
            <w:pPr>
              <w:pStyle w:val="52"/>
              <w:jc w:val="center"/>
              <w:rPr>
                <w:kern w:val="0"/>
              </w:rPr>
            </w:pPr>
            <w:r>
              <w:rPr>
                <w:kern w:val="0"/>
              </w:rPr>
              <w:t>中值</w:t>
            </w:r>
          </w:p>
        </w:tc>
        <w:tc>
          <w:tcPr>
            <w:tcW w:w="689" w:type="dxa"/>
            <w:shd w:val="clear" w:color="auto" w:fill="auto"/>
            <w:vAlign w:val="center"/>
          </w:tcPr>
          <w:p>
            <w:pPr>
              <w:pStyle w:val="52"/>
              <w:jc w:val="center"/>
              <w:rPr>
                <w:kern w:val="0"/>
              </w:rPr>
            </w:pPr>
            <w:r>
              <w:rPr>
                <w:kern w:val="0"/>
              </w:rPr>
              <w:t>均值</w:t>
            </w:r>
          </w:p>
        </w:tc>
        <w:tc>
          <w:tcPr>
            <w:tcW w:w="846" w:type="dxa"/>
            <w:shd w:val="clear" w:color="auto" w:fill="auto"/>
            <w:vAlign w:val="center"/>
          </w:tcPr>
          <w:p>
            <w:pPr>
              <w:pStyle w:val="52"/>
              <w:jc w:val="center"/>
              <w:rPr>
                <w:kern w:val="0"/>
              </w:rPr>
            </w:pPr>
            <w:r>
              <w:rPr>
                <w:kern w:val="0"/>
              </w:rPr>
              <w:t>标准差</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专科生</w:t>
            </w:r>
          </w:p>
        </w:tc>
        <w:tc>
          <w:tcPr>
            <w:tcW w:w="368" w:type="dxa"/>
            <w:tcBorders>
              <w:left w:val="single" w:color="00B050" w:sz="8" w:space="0"/>
            </w:tcBorders>
            <w:vAlign w:val="center"/>
          </w:tcPr>
          <w:p>
            <w:pPr>
              <w:pStyle w:val="52"/>
              <w:jc w:val="center"/>
              <w:rPr>
                <w:kern w:val="0"/>
              </w:rPr>
            </w:pPr>
            <w:r>
              <w:rPr>
                <w:kern w:val="0"/>
              </w:rPr>
              <w:t>5</w:t>
            </w:r>
          </w:p>
        </w:tc>
        <w:tc>
          <w:tcPr>
            <w:tcW w:w="636" w:type="dxa"/>
            <w:vAlign w:val="center"/>
          </w:tcPr>
          <w:p>
            <w:pPr>
              <w:pStyle w:val="52"/>
              <w:jc w:val="center"/>
              <w:rPr>
                <w:kern w:val="0"/>
              </w:rPr>
            </w:pPr>
            <w:r>
              <w:rPr>
                <w:kern w:val="0"/>
              </w:rPr>
              <w:t>3.00</w:t>
            </w:r>
          </w:p>
        </w:tc>
        <w:tc>
          <w:tcPr>
            <w:tcW w:w="689" w:type="dxa"/>
            <w:shd w:val="clear" w:color="auto" w:fill="auto"/>
            <w:vAlign w:val="center"/>
          </w:tcPr>
          <w:p>
            <w:pPr>
              <w:pStyle w:val="52"/>
              <w:jc w:val="center"/>
              <w:rPr>
                <w:kern w:val="0"/>
              </w:rPr>
            </w:pPr>
            <w:r>
              <w:rPr>
                <w:kern w:val="0"/>
              </w:rPr>
              <w:t>3.00</w:t>
            </w:r>
          </w:p>
        </w:tc>
        <w:tc>
          <w:tcPr>
            <w:tcW w:w="846" w:type="dxa"/>
            <w:shd w:val="clear" w:color="auto" w:fill="auto"/>
            <w:vAlign w:val="center"/>
          </w:tcPr>
          <w:p>
            <w:pPr>
              <w:pStyle w:val="52"/>
              <w:jc w:val="center"/>
              <w:rPr>
                <w:kern w:val="0"/>
              </w:rPr>
            </w:pPr>
            <w:r>
              <w:rPr>
                <w:kern w:val="0"/>
              </w:rPr>
              <w:t>3.08</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本科生</w:t>
            </w:r>
          </w:p>
        </w:tc>
        <w:tc>
          <w:tcPr>
            <w:tcW w:w="368" w:type="dxa"/>
            <w:tcBorders>
              <w:left w:val="single" w:color="00B050" w:sz="8" w:space="0"/>
            </w:tcBorders>
            <w:vAlign w:val="center"/>
          </w:tcPr>
          <w:p>
            <w:pPr>
              <w:pStyle w:val="52"/>
              <w:jc w:val="center"/>
              <w:rPr>
                <w:kern w:val="0"/>
              </w:rPr>
            </w:pPr>
            <w:r>
              <w:rPr>
                <w:kern w:val="0"/>
              </w:rPr>
              <w:t>5</w:t>
            </w:r>
          </w:p>
        </w:tc>
        <w:tc>
          <w:tcPr>
            <w:tcW w:w="636" w:type="dxa"/>
            <w:vAlign w:val="center"/>
          </w:tcPr>
          <w:p>
            <w:pPr>
              <w:pStyle w:val="52"/>
              <w:jc w:val="center"/>
              <w:rPr>
                <w:kern w:val="0"/>
              </w:rPr>
            </w:pPr>
            <w:r>
              <w:rPr>
                <w:kern w:val="0"/>
              </w:rPr>
              <w:t>5.00</w:t>
            </w:r>
          </w:p>
        </w:tc>
        <w:tc>
          <w:tcPr>
            <w:tcW w:w="689" w:type="dxa"/>
            <w:shd w:val="clear" w:color="auto" w:fill="auto"/>
            <w:vAlign w:val="center"/>
          </w:tcPr>
          <w:p>
            <w:pPr>
              <w:pStyle w:val="52"/>
              <w:jc w:val="center"/>
              <w:rPr>
                <w:kern w:val="0"/>
              </w:rPr>
            </w:pPr>
            <w:r>
              <w:rPr>
                <w:kern w:val="0"/>
              </w:rPr>
              <w:t>5.00</w:t>
            </w:r>
          </w:p>
        </w:tc>
        <w:tc>
          <w:tcPr>
            <w:tcW w:w="846" w:type="dxa"/>
            <w:shd w:val="clear" w:color="auto" w:fill="auto"/>
            <w:vAlign w:val="center"/>
          </w:tcPr>
          <w:p>
            <w:pPr>
              <w:pStyle w:val="52"/>
              <w:jc w:val="center"/>
              <w:rPr>
                <w:kern w:val="0"/>
              </w:rPr>
            </w:pPr>
            <w:r>
              <w:rPr>
                <w:kern w:val="0"/>
              </w:rPr>
              <w:t>3.32</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硕士生</w:t>
            </w:r>
          </w:p>
        </w:tc>
        <w:tc>
          <w:tcPr>
            <w:tcW w:w="368" w:type="dxa"/>
            <w:tcBorders>
              <w:left w:val="single" w:color="00B050" w:sz="8" w:space="0"/>
            </w:tcBorders>
            <w:vAlign w:val="center"/>
          </w:tcPr>
          <w:p>
            <w:pPr>
              <w:pStyle w:val="52"/>
              <w:jc w:val="center"/>
              <w:rPr>
                <w:kern w:val="0"/>
              </w:rPr>
            </w:pPr>
            <w:r>
              <w:rPr>
                <w:kern w:val="0"/>
              </w:rPr>
              <w:t>5</w:t>
            </w:r>
          </w:p>
        </w:tc>
        <w:tc>
          <w:tcPr>
            <w:tcW w:w="636" w:type="dxa"/>
            <w:vAlign w:val="center"/>
          </w:tcPr>
          <w:p>
            <w:pPr>
              <w:pStyle w:val="52"/>
              <w:jc w:val="center"/>
              <w:rPr>
                <w:kern w:val="0"/>
              </w:rPr>
            </w:pPr>
            <w:r>
              <w:rPr>
                <w:kern w:val="0"/>
              </w:rPr>
              <w:t>6.00</w:t>
            </w:r>
          </w:p>
        </w:tc>
        <w:tc>
          <w:tcPr>
            <w:tcW w:w="689" w:type="dxa"/>
            <w:shd w:val="clear" w:color="auto" w:fill="auto"/>
            <w:vAlign w:val="center"/>
          </w:tcPr>
          <w:p>
            <w:pPr>
              <w:pStyle w:val="52"/>
              <w:jc w:val="center"/>
              <w:rPr>
                <w:kern w:val="0"/>
              </w:rPr>
            </w:pPr>
            <w:r>
              <w:rPr>
                <w:kern w:val="0"/>
              </w:rPr>
              <w:t>6.00</w:t>
            </w:r>
          </w:p>
        </w:tc>
        <w:tc>
          <w:tcPr>
            <w:tcW w:w="846" w:type="dxa"/>
            <w:shd w:val="clear" w:color="auto" w:fill="auto"/>
            <w:vAlign w:val="center"/>
          </w:tcPr>
          <w:p>
            <w:pPr>
              <w:pStyle w:val="52"/>
              <w:jc w:val="center"/>
              <w:rPr>
                <w:kern w:val="0"/>
              </w:rPr>
            </w:pPr>
            <w:r>
              <w:rPr>
                <w:kern w:val="0"/>
              </w:rPr>
              <w:t>3.94</w:t>
            </w:r>
          </w:p>
        </w:tc>
      </w:tr>
      <w:tr>
        <w:tblPrEx>
          <w:tblBorders>
            <w:top w:val="single" w:color="00B050" w:sz="8" w:space="0"/>
            <w:left w:val="single" w:color="00B050" w:sz="8" w:space="0"/>
            <w:bottom w:val="single" w:color="00B050" w:sz="8" w:space="0"/>
            <w:right w:val="single" w:color="00B050" w:sz="8" w:space="0"/>
            <w:insideH w:val="single" w:color="00B050" w:sz="8" w:space="0"/>
            <w:insideV w:val="dotted" w:color="00B050" w:sz="8" w:space="0"/>
          </w:tblBorders>
          <w:tblLayout w:type="fixed"/>
          <w:tblCellMar>
            <w:top w:w="0" w:type="dxa"/>
            <w:left w:w="108" w:type="dxa"/>
            <w:bottom w:w="0" w:type="dxa"/>
            <w:right w:w="108" w:type="dxa"/>
          </w:tblCellMar>
        </w:tblPrEx>
        <w:trPr>
          <w:trHeight w:val="270" w:hRule="atLeast"/>
          <w:jc w:val="center"/>
        </w:trPr>
        <w:tc>
          <w:tcPr>
            <w:tcW w:w="846" w:type="dxa"/>
            <w:tcBorders>
              <w:right w:val="single" w:color="00B050" w:sz="8" w:space="0"/>
            </w:tcBorders>
          </w:tcPr>
          <w:p>
            <w:pPr>
              <w:pStyle w:val="52"/>
              <w:jc w:val="center"/>
              <w:rPr>
                <w:kern w:val="0"/>
              </w:rPr>
            </w:pPr>
            <w:r>
              <w:rPr>
                <w:rFonts w:hint="eastAsia"/>
                <w:kern w:val="0"/>
              </w:rPr>
              <w:t>博士生</w:t>
            </w:r>
          </w:p>
        </w:tc>
        <w:tc>
          <w:tcPr>
            <w:tcW w:w="368" w:type="dxa"/>
            <w:tcBorders>
              <w:left w:val="single" w:color="00B050" w:sz="8" w:space="0"/>
            </w:tcBorders>
            <w:vAlign w:val="center"/>
          </w:tcPr>
          <w:p>
            <w:pPr>
              <w:pStyle w:val="52"/>
              <w:jc w:val="center"/>
              <w:rPr>
                <w:kern w:val="0"/>
              </w:rPr>
            </w:pPr>
            <w:r>
              <w:rPr>
                <w:kern w:val="0"/>
              </w:rPr>
              <w:t>5</w:t>
            </w:r>
          </w:p>
        </w:tc>
        <w:tc>
          <w:tcPr>
            <w:tcW w:w="636" w:type="dxa"/>
            <w:vAlign w:val="center"/>
          </w:tcPr>
          <w:p>
            <w:pPr>
              <w:pStyle w:val="52"/>
              <w:jc w:val="center"/>
              <w:rPr>
                <w:kern w:val="0"/>
              </w:rPr>
            </w:pPr>
            <w:r>
              <w:rPr>
                <w:kern w:val="0"/>
              </w:rPr>
              <w:t>9.00</w:t>
            </w:r>
          </w:p>
        </w:tc>
        <w:tc>
          <w:tcPr>
            <w:tcW w:w="689" w:type="dxa"/>
            <w:shd w:val="clear" w:color="auto" w:fill="auto"/>
            <w:vAlign w:val="center"/>
          </w:tcPr>
          <w:p>
            <w:pPr>
              <w:pStyle w:val="52"/>
              <w:jc w:val="center"/>
              <w:rPr>
                <w:kern w:val="0"/>
              </w:rPr>
            </w:pPr>
            <w:r>
              <w:rPr>
                <w:kern w:val="0"/>
              </w:rPr>
              <w:t>10.60</w:t>
            </w:r>
          </w:p>
        </w:tc>
        <w:tc>
          <w:tcPr>
            <w:tcW w:w="846" w:type="dxa"/>
            <w:shd w:val="clear" w:color="auto" w:fill="auto"/>
            <w:vAlign w:val="center"/>
          </w:tcPr>
          <w:p>
            <w:pPr>
              <w:pStyle w:val="52"/>
              <w:jc w:val="center"/>
              <w:rPr>
                <w:kern w:val="0"/>
              </w:rPr>
            </w:pPr>
            <w:r>
              <w:rPr>
                <w:kern w:val="0"/>
              </w:rPr>
              <w:t>5.46</w:t>
            </w:r>
          </w:p>
        </w:tc>
      </w:tr>
    </w:tbl>
    <w:p>
      <w:pPr>
        <w:pStyle w:val="52"/>
      </w:pPr>
    </w:p>
    <w:p>
      <w:pPr>
        <w:pStyle w:val="52"/>
      </w:pPr>
    </w:p>
    <w:p>
      <w:pPr>
        <w:pStyle w:val="37"/>
        <w:ind w:firstLine="480"/>
      </w:pPr>
      <w:bookmarkStart w:id="244" w:name="PO_4242"/>
      <w:bookmarkEnd w:id="244"/>
      <w:r>
        <w:rPr>
          <w:rFonts w:hint="eastAsia"/>
        </w:rPr>
        <w:t>从福利保障情况来看，就五险而言，调查单位都为毕业生提供五险。</w:t>
      </w:r>
    </w:p>
    <w:p>
      <w:pPr>
        <w:jc w:val="center"/>
      </w:pPr>
      <w:r>
        <w:rPr>
          <w:rFonts w:hint="eastAsia"/>
        </w:rPr>
        <w:drawing>
          <wp:inline distT="0" distB="0" distL="0" distR="0">
            <wp:extent cx="6076950" cy="3077210"/>
            <wp:effectExtent l="19050" t="0" r="19050" b="889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59"/>
        <w:spacing w:before="156" w:after="312"/>
      </w:pPr>
      <w:r>
        <w:rPr>
          <w:rFonts w:hint="eastAsia"/>
        </w:rPr>
        <w:t>毕业生享受五险情况</w:t>
      </w:r>
    </w:p>
    <w:p>
      <w:pPr>
        <w:pStyle w:val="53"/>
        <w:spacing w:before="312" w:after="156"/>
      </w:pPr>
      <w:r>
        <w:rPr>
          <w:rFonts w:hint="eastAsia"/>
        </w:rPr>
        <w:t>毕业生享受五险情况</w:t>
      </w:r>
    </w:p>
    <w:tbl>
      <w:tblPr>
        <w:tblStyle w:val="33"/>
        <w:tblW w:w="1903"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689"/>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689"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有五险</w:t>
            </w:r>
          </w:p>
        </w:tc>
        <w:tc>
          <w:tcPr>
            <w:tcW w:w="368" w:type="dxa"/>
            <w:shd w:val="clear" w:color="auto" w:fill="auto"/>
            <w:vAlign w:val="center"/>
          </w:tcPr>
          <w:p>
            <w:pPr>
              <w:pStyle w:val="52"/>
              <w:jc w:val="center"/>
              <w:rPr>
                <w:kern w:val="0"/>
              </w:rPr>
            </w:pPr>
            <w:r>
              <w:rPr>
                <w:kern w:val="0"/>
              </w:rPr>
              <w:t>5</w:t>
            </w:r>
          </w:p>
        </w:tc>
        <w:tc>
          <w:tcPr>
            <w:tcW w:w="689" w:type="dxa"/>
            <w:shd w:val="clear" w:color="auto" w:fill="auto"/>
            <w:vAlign w:val="center"/>
          </w:tcPr>
          <w:p>
            <w:pPr>
              <w:pStyle w:val="52"/>
              <w:jc w:val="center"/>
              <w:rPr>
                <w:kern w:val="0"/>
              </w:rPr>
            </w:pPr>
            <w:r>
              <w:rPr>
                <w:kern w:val="0"/>
              </w:rPr>
              <w:t>100.0</w:t>
            </w:r>
          </w:p>
        </w:tc>
      </w:tr>
    </w:tbl>
    <w:p>
      <w:pPr>
        <w:pStyle w:val="37"/>
        <w:ind w:firstLine="0" w:firstLineChars="0"/>
      </w:pPr>
    </w:p>
    <w:p>
      <w:pPr>
        <w:pStyle w:val="37"/>
        <w:ind w:firstLine="480"/>
      </w:pPr>
      <w:bookmarkStart w:id="245" w:name="PO_4243"/>
      <w:bookmarkEnd w:id="245"/>
      <w:r>
        <w:rPr>
          <w:rFonts w:hint="eastAsia"/>
        </w:rPr>
        <w:t>就公积金而言，100.0%的调查单位为毕业生提供公积金。</w:t>
      </w:r>
    </w:p>
    <w:p>
      <w:pPr>
        <w:jc w:val="center"/>
      </w:pPr>
      <w:r>
        <w:rPr>
          <w:rFonts w:hint="eastAsia"/>
        </w:rPr>
        <w:drawing>
          <wp:inline distT="0" distB="0" distL="0" distR="0">
            <wp:extent cx="6076950" cy="3077210"/>
            <wp:effectExtent l="19050" t="0" r="19050" b="889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59"/>
        <w:spacing w:before="156" w:after="312"/>
      </w:pPr>
      <w:r>
        <w:rPr>
          <w:rFonts w:hint="eastAsia"/>
        </w:rPr>
        <w:t>毕业生享受公积金情况</w:t>
      </w:r>
    </w:p>
    <w:p>
      <w:pPr>
        <w:pStyle w:val="53"/>
        <w:spacing w:before="312" w:after="156"/>
      </w:pPr>
      <w:r>
        <w:rPr>
          <w:rFonts w:hint="eastAsia"/>
        </w:rPr>
        <w:t>毕业生享受公积金情况</w:t>
      </w:r>
    </w:p>
    <w:tbl>
      <w:tblPr>
        <w:tblStyle w:val="33"/>
        <w:tblW w:w="1483"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426"/>
        <w:gridCol w:w="368"/>
        <w:gridCol w:w="689"/>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42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689"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426" w:type="dxa"/>
            <w:shd w:val="clear" w:color="auto" w:fill="auto"/>
            <w:vAlign w:val="center"/>
          </w:tcPr>
          <w:p>
            <w:pPr>
              <w:pStyle w:val="52"/>
              <w:rPr>
                <w:kern w:val="0"/>
              </w:rPr>
            </w:pPr>
            <w:r>
              <w:rPr>
                <w:rFonts w:hint="eastAsia"/>
                <w:kern w:val="0"/>
              </w:rPr>
              <w:t>有</w:t>
            </w:r>
          </w:p>
        </w:tc>
        <w:tc>
          <w:tcPr>
            <w:tcW w:w="368" w:type="dxa"/>
            <w:shd w:val="clear" w:color="auto" w:fill="auto"/>
            <w:vAlign w:val="center"/>
          </w:tcPr>
          <w:p>
            <w:pPr>
              <w:pStyle w:val="52"/>
              <w:jc w:val="center"/>
              <w:rPr>
                <w:kern w:val="0"/>
              </w:rPr>
            </w:pPr>
            <w:r>
              <w:rPr>
                <w:kern w:val="0"/>
              </w:rPr>
              <w:t>5</w:t>
            </w:r>
          </w:p>
        </w:tc>
        <w:tc>
          <w:tcPr>
            <w:tcW w:w="689" w:type="dxa"/>
            <w:shd w:val="clear" w:color="auto" w:fill="auto"/>
            <w:vAlign w:val="center"/>
          </w:tcPr>
          <w:p>
            <w:pPr>
              <w:pStyle w:val="52"/>
              <w:jc w:val="center"/>
              <w:rPr>
                <w:kern w:val="0"/>
              </w:rPr>
            </w:pPr>
            <w:r>
              <w:rPr>
                <w:kern w:val="0"/>
              </w:rPr>
              <w:t>100.0</w:t>
            </w:r>
          </w:p>
        </w:tc>
      </w:tr>
    </w:tbl>
    <w:p>
      <w:pPr>
        <w:pStyle w:val="37"/>
        <w:ind w:firstLine="0" w:firstLineChars="0"/>
      </w:pPr>
    </w:p>
    <w:p>
      <w:pPr>
        <w:pStyle w:val="44"/>
        <w:spacing w:before="156"/>
      </w:pPr>
      <w:bookmarkStart w:id="246" w:name="_Toc470167444"/>
      <w:r>
        <w:rPr>
          <w:rFonts w:hint="eastAsia"/>
        </w:rPr>
        <w:t>5、落户政策对</w:t>
      </w:r>
      <w:r>
        <w:t>2016年招聘计划的影响</w:t>
      </w:r>
      <w:bookmarkEnd w:id="246"/>
    </w:p>
    <w:p>
      <w:pPr>
        <w:pStyle w:val="37"/>
        <w:ind w:firstLine="480"/>
      </w:pPr>
      <w:bookmarkStart w:id="247" w:name="PO_425"/>
      <w:bookmarkEnd w:id="247"/>
      <w:r>
        <w:rPr>
          <w:rFonts w:hint="eastAsia"/>
        </w:rPr>
        <w:t>落户政策对调查单位2016年招聘计划影响的均值为2.80，相当于百分制的56.0分。其中，40.0%的调查单位认为影响“非常大”或“大”，20.0%表示“一般”，40.0%表示“几乎没有”。</w:t>
      </w:r>
    </w:p>
    <w:p>
      <w:pPr>
        <w:jc w:val="center"/>
      </w:pPr>
      <w:r>
        <w:rPr>
          <w:rFonts w:hint="eastAsia"/>
        </w:rPr>
        <w:drawing>
          <wp:inline distT="0" distB="0" distL="0" distR="0">
            <wp:extent cx="6076950" cy="3077210"/>
            <wp:effectExtent l="19050" t="0" r="19050" b="889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59"/>
        <w:spacing w:before="156" w:after="312"/>
      </w:pPr>
      <w:r>
        <w:rPr>
          <w:rFonts w:hint="eastAsia"/>
        </w:rPr>
        <w:t>落户政策对2016年招聘计划的影响</w:t>
      </w:r>
    </w:p>
    <w:p>
      <w:pPr>
        <w:pStyle w:val="53"/>
        <w:spacing w:before="312" w:after="156"/>
      </w:pPr>
      <w:r>
        <w:rPr>
          <w:rFonts w:hint="eastAsia"/>
        </w:rPr>
        <w:t>落户政策对2016年招聘计划的影响</w:t>
      </w:r>
    </w:p>
    <w:tbl>
      <w:tblPr>
        <w:tblStyle w:val="33"/>
        <w:tblW w:w="200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05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05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非常大</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大</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一般</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056" w:type="dxa"/>
            <w:shd w:val="clear" w:color="auto" w:fill="auto"/>
            <w:vAlign w:val="center"/>
          </w:tcPr>
          <w:p>
            <w:pPr>
              <w:pStyle w:val="52"/>
              <w:rPr>
                <w:kern w:val="0"/>
              </w:rPr>
            </w:pPr>
            <w:r>
              <w:rPr>
                <w:rFonts w:hint="eastAsia"/>
                <w:kern w:val="0"/>
              </w:rPr>
              <w:t>几乎没有</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bl>
    <w:p>
      <w:pPr>
        <w:pStyle w:val="52"/>
      </w:pPr>
    </w:p>
    <w:p>
      <w:pPr>
        <w:pStyle w:val="52"/>
      </w:pPr>
    </w:p>
    <w:p>
      <w:pPr>
        <w:pStyle w:val="37"/>
        <w:ind w:firstLine="480"/>
      </w:pPr>
    </w:p>
    <w:p>
      <w:pPr>
        <w:pStyle w:val="44"/>
        <w:spacing w:before="156"/>
      </w:pPr>
      <w:bookmarkStart w:id="248" w:name="_Toc470167445"/>
      <w:r>
        <w:rPr>
          <w:rFonts w:hint="eastAsia"/>
        </w:rPr>
        <w:t>6、未来三年对本校毕业生的需求趋势</w:t>
      </w:r>
      <w:bookmarkEnd w:id="248"/>
    </w:p>
    <w:p>
      <w:pPr>
        <w:pStyle w:val="37"/>
        <w:ind w:firstLine="480"/>
      </w:pPr>
      <w:bookmarkStart w:id="249" w:name="PO_426"/>
      <w:bookmarkEnd w:id="249"/>
      <w:r>
        <w:rPr>
          <w:rFonts w:hint="eastAsia"/>
        </w:rPr>
        <w:t>未来三年调查单位对本校毕业生数量的需求趋势上，40.0%表示对本校毕业生数量的需求将与目前持平，20.0%表示对本校毕业生数量的需求将增加，40.0%表示不确定未来毕业生的需求趋势。</w:t>
      </w:r>
    </w:p>
    <w:p>
      <w:pPr>
        <w:jc w:val="center"/>
      </w:pPr>
      <w:r>
        <w:rPr>
          <w:rFonts w:hint="eastAsia"/>
        </w:rPr>
        <w:drawing>
          <wp:inline distT="0" distB="0" distL="0" distR="0">
            <wp:extent cx="6076950" cy="3077210"/>
            <wp:effectExtent l="19050" t="0" r="19050" b="889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59"/>
        <w:spacing w:before="156" w:after="312"/>
      </w:pPr>
      <w:r>
        <w:rPr>
          <w:rFonts w:hint="eastAsia"/>
        </w:rPr>
        <w:t>未来三年对本校毕业生的需求趋势</w:t>
      </w:r>
    </w:p>
    <w:p>
      <w:pPr>
        <w:pStyle w:val="53"/>
        <w:spacing w:before="312" w:after="156"/>
      </w:pPr>
      <w:r>
        <w:rPr>
          <w:rFonts w:hint="eastAsia"/>
        </w:rPr>
        <w:t>未来三年对本校毕业生的需求趋势</w:t>
      </w:r>
    </w:p>
    <w:tbl>
      <w:tblPr>
        <w:tblStyle w:val="33"/>
        <w:tblW w:w="221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126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126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与目前持平</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增加</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1266" w:type="dxa"/>
            <w:shd w:val="clear" w:color="auto" w:fill="auto"/>
            <w:vAlign w:val="center"/>
          </w:tcPr>
          <w:p>
            <w:pPr>
              <w:pStyle w:val="52"/>
              <w:rPr>
                <w:kern w:val="0"/>
              </w:rPr>
            </w:pPr>
            <w:r>
              <w:rPr>
                <w:rFonts w:hint="eastAsia"/>
                <w:kern w:val="0"/>
              </w:rPr>
              <w:t>不确定</w:t>
            </w:r>
          </w:p>
        </w:tc>
        <w:tc>
          <w:tcPr>
            <w:tcW w:w="368" w:type="dxa"/>
            <w:shd w:val="clear" w:color="auto" w:fill="auto"/>
            <w:vAlign w:val="center"/>
          </w:tcPr>
          <w:p>
            <w:pPr>
              <w:pStyle w:val="52"/>
              <w:jc w:val="center"/>
              <w:rPr>
                <w:kern w:val="0"/>
              </w:rPr>
            </w:pPr>
            <w:r>
              <w:rPr>
                <w:kern w:val="0"/>
              </w:rPr>
              <w:t>2</w:t>
            </w:r>
          </w:p>
        </w:tc>
        <w:tc>
          <w:tcPr>
            <w:tcW w:w="584" w:type="dxa"/>
            <w:shd w:val="clear" w:color="auto" w:fill="auto"/>
            <w:vAlign w:val="center"/>
          </w:tcPr>
          <w:p>
            <w:pPr>
              <w:pStyle w:val="52"/>
              <w:jc w:val="center"/>
              <w:rPr>
                <w:kern w:val="0"/>
              </w:rPr>
            </w:pPr>
            <w:r>
              <w:rPr>
                <w:kern w:val="0"/>
              </w:rPr>
              <w:t>40.0</w:t>
            </w:r>
          </w:p>
        </w:tc>
      </w:tr>
    </w:tbl>
    <w:p>
      <w:pPr>
        <w:pStyle w:val="37"/>
        <w:ind w:firstLine="0" w:firstLineChars="0"/>
      </w:pPr>
    </w:p>
    <w:p>
      <w:pPr>
        <w:pStyle w:val="43"/>
        <w:spacing w:before="312" w:after="156"/>
      </w:pPr>
      <w:bookmarkStart w:id="250" w:name="_Toc470167446"/>
      <w:r>
        <w:rPr>
          <w:rFonts w:hint="eastAsia" w:ascii="Times New Roman" w:hAnsi="Times New Roman"/>
        </w:rPr>
        <w:t>三、</w:t>
      </w:r>
      <w:r>
        <w:t>调查单位对</w:t>
      </w:r>
      <w:r>
        <w:rPr>
          <w:rFonts w:hint="eastAsia"/>
        </w:rPr>
        <w:t>本校</w:t>
      </w:r>
      <w:r>
        <w:t>毕业生职业能力</w:t>
      </w:r>
      <w:r>
        <w:rPr>
          <w:rFonts w:hint="eastAsia"/>
        </w:rPr>
        <w:t>和</w:t>
      </w:r>
      <w:r>
        <w:t>职业素养的需求</w:t>
      </w:r>
      <w:bookmarkEnd w:id="250"/>
    </w:p>
    <w:p>
      <w:pPr>
        <w:pStyle w:val="44"/>
        <w:spacing w:before="156"/>
      </w:pPr>
      <w:bookmarkStart w:id="251" w:name="_Toc470167447"/>
      <w:r>
        <w:t>1、</w:t>
      </w:r>
      <w:r>
        <w:rPr>
          <w:rFonts w:hint="eastAsia"/>
        </w:rPr>
        <w:t>对毕业生各项职业能力和</w:t>
      </w:r>
      <w:r>
        <w:t>职业素养的重视程度</w:t>
      </w:r>
      <w:bookmarkEnd w:id="251"/>
    </w:p>
    <w:p>
      <w:pPr>
        <w:pStyle w:val="37"/>
        <w:ind w:firstLine="480"/>
      </w:pPr>
      <w:bookmarkStart w:id="252" w:name="PO_4311"/>
      <w:bookmarkEnd w:id="252"/>
      <w:r>
        <w:rPr>
          <w:rFonts w:hint="eastAsia"/>
        </w:rPr>
        <w:t>2016年，调查单位招聘毕业生时重视程度较高的三个职业能力依次为：专业性知识与技能、通识性知识与技能、自我管理能力；重视程度较低的三个职业能力依次为：沟通与表达能力、创新能力、职业适应能力。</w:t>
      </w:r>
    </w:p>
    <w:p>
      <w:pPr>
        <w:jc w:val="center"/>
      </w:pPr>
      <w:r>
        <w:rPr>
          <w:rFonts w:hint="eastAsia"/>
        </w:rPr>
        <w:drawing>
          <wp:inline distT="0" distB="0" distL="0" distR="0">
            <wp:extent cx="6124575" cy="3077210"/>
            <wp:effectExtent l="19050" t="0" r="9525" b="889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59"/>
        <w:spacing w:before="156" w:after="312"/>
      </w:pPr>
      <w:r>
        <w:rPr>
          <w:rFonts w:hint="eastAsia"/>
        </w:rPr>
        <w:t>对毕业生各项职业能力的重视程度</w:t>
      </w:r>
    </w:p>
    <w:p>
      <w:pPr>
        <w:pStyle w:val="53"/>
        <w:spacing w:before="312" w:after="156"/>
      </w:pPr>
      <w:r>
        <w:rPr>
          <w:rFonts w:hint="eastAsia"/>
        </w:rPr>
        <w:t>对毕业生各项职业能力的重视程度</w:t>
      </w:r>
    </w:p>
    <w:tbl>
      <w:tblPr>
        <w:tblStyle w:val="33"/>
        <w:tblW w:w="6837" w:type="dxa"/>
        <w:jc w:val="center"/>
        <w:tblInd w:w="0" w:type="dxa"/>
        <w:tblLayout w:type="fixed"/>
        <w:tblCellMar>
          <w:top w:w="0" w:type="dxa"/>
          <w:left w:w="108" w:type="dxa"/>
          <w:bottom w:w="0" w:type="dxa"/>
          <w:right w:w="108" w:type="dxa"/>
        </w:tblCellMar>
      </w:tblPr>
      <w:tblGrid>
        <w:gridCol w:w="189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189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189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专业性知识与技能</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80.0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通识性知识与技能</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1.64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自我管理能力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执行能力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学习能力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职业适应能力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创新能力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0.55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沟通与表达能力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bl>
    <w:p>
      <w:pPr>
        <w:pStyle w:val="37"/>
        <w:ind w:firstLine="0" w:firstLineChars="0"/>
      </w:pPr>
    </w:p>
    <w:p>
      <w:pPr>
        <w:pStyle w:val="37"/>
        <w:ind w:firstLine="480"/>
      </w:pPr>
      <w:bookmarkStart w:id="253" w:name="PO_4312"/>
      <w:bookmarkEnd w:id="253"/>
      <w:r>
        <w:rPr>
          <w:rFonts w:hint="eastAsia"/>
        </w:rPr>
        <w:t>调查单位招聘毕业生时重视程度较高的四个职业素养依次为：爱岗敬业、责任感强、自信心强、勤奋努力；重视程度较低的四个职业素养依次为：严谨细致、忠于职守、忠诚可靠、积极主动。</w:t>
      </w:r>
    </w:p>
    <w:p>
      <w:pPr>
        <w:jc w:val="center"/>
      </w:pPr>
      <w:r>
        <w:rPr>
          <w:rFonts w:hint="eastAsia"/>
        </w:rPr>
        <w:drawing>
          <wp:inline distT="0" distB="0" distL="0" distR="0">
            <wp:extent cx="6124575" cy="3077210"/>
            <wp:effectExtent l="19050" t="0" r="9525" b="8890"/>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59"/>
        <w:spacing w:before="156" w:after="312"/>
      </w:pPr>
      <w:r>
        <w:rPr>
          <w:rFonts w:hint="eastAsia"/>
        </w:rPr>
        <w:t>对毕业生各项职业素养的重视程度</w:t>
      </w:r>
    </w:p>
    <w:p>
      <w:pPr>
        <w:pStyle w:val="53"/>
        <w:spacing w:before="312" w:after="156"/>
      </w:pPr>
      <w:r>
        <w:rPr>
          <w:rFonts w:hint="eastAsia"/>
        </w:rPr>
        <w:t>对毕业生各项职业素养的重视程度</w:t>
      </w:r>
    </w:p>
    <w:tbl>
      <w:tblPr>
        <w:tblStyle w:val="33"/>
        <w:tblW w:w="5997" w:type="dxa"/>
        <w:jc w:val="center"/>
        <w:tblInd w:w="0" w:type="dxa"/>
        <w:tblLayout w:type="fixed"/>
        <w:tblCellMar>
          <w:top w:w="0" w:type="dxa"/>
          <w:left w:w="108" w:type="dxa"/>
          <w:bottom w:w="0" w:type="dxa"/>
          <w:right w:w="108" w:type="dxa"/>
        </w:tblCellMar>
      </w:tblPr>
      <w:tblGrid>
        <w:gridCol w:w="105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105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105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爱岗敬业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2.49</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责任感强</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自信心强</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勤奋努力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1.22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积极主动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忠诚可靠</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忠于职守</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105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严谨细致</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bl>
    <w:p>
      <w:pPr>
        <w:pStyle w:val="37"/>
        <w:ind w:firstLine="0" w:firstLineChars="0"/>
      </w:pPr>
    </w:p>
    <w:p>
      <w:pPr>
        <w:pStyle w:val="44"/>
        <w:spacing w:before="156"/>
      </w:pPr>
      <w:bookmarkStart w:id="254" w:name="_Toc470167448"/>
      <w:r>
        <w:t>2、</w:t>
      </w:r>
      <w:r>
        <w:rPr>
          <w:rFonts w:hint="eastAsia"/>
        </w:rPr>
        <w:t>对目前供职于</w:t>
      </w:r>
      <w:r>
        <w:t>本单位</w:t>
      </w:r>
      <w:r>
        <w:rPr>
          <w:rFonts w:hint="eastAsia"/>
        </w:rPr>
        <w:t>毕业生的职业能力</w:t>
      </w:r>
      <w:r>
        <w:t>和职业</w:t>
      </w:r>
      <w:r>
        <w:rPr>
          <w:rFonts w:hint="eastAsia"/>
        </w:rPr>
        <w:t>素养提升的期待</w:t>
      </w:r>
      <w:bookmarkEnd w:id="254"/>
    </w:p>
    <w:p>
      <w:pPr>
        <w:pStyle w:val="37"/>
        <w:ind w:firstLine="480"/>
      </w:pPr>
      <w:bookmarkStart w:id="255" w:name="PO_4321"/>
      <w:bookmarkEnd w:id="255"/>
      <w:r>
        <w:rPr>
          <w:rFonts w:hint="eastAsia"/>
        </w:rPr>
        <w:t>调查单位认为目前供职于本单位的大学生最有待提升的四个职业能力依次为：执行能力、创新能力、自我管理能力、学习能力；最不需要提升的三个职业能力依次为：组织与管理能力、职业适应能力、沟通与表达能力。</w:t>
      </w:r>
    </w:p>
    <w:p>
      <w:pPr>
        <w:jc w:val="center"/>
      </w:pPr>
      <w:r>
        <w:rPr>
          <w:rFonts w:hint="eastAsia"/>
        </w:rPr>
        <w:drawing>
          <wp:inline distT="0" distB="0" distL="0" distR="0">
            <wp:extent cx="6124575" cy="3077210"/>
            <wp:effectExtent l="19050" t="0" r="9525" b="889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59"/>
        <w:spacing w:before="156" w:after="312"/>
      </w:pPr>
      <w:r>
        <w:rPr>
          <w:rFonts w:hint="eastAsia"/>
        </w:rPr>
        <w:t>对毕业生各项职业能力提升的期待</w:t>
      </w:r>
    </w:p>
    <w:p>
      <w:pPr>
        <w:pStyle w:val="53"/>
        <w:spacing w:before="312" w:after="156"/>
      </w:pPr>
      <w:r>
        <w:rPr>
          <w:rFonts w:hint="eastAsia"/>
        </w:rPr>
        <w:t>对毕业生各项职业能力提升的期待</w:t>
      </w:r>
    </w:p>
    <w:tbl>
      <w:tblPr>
        <w:tblStyle w:val="33"/>
        <w:tblW w:w="6837" w:type="dxa"/>
        <w:jc w:val="center"/>
        <w:tblInd w:w="0" w:type="dxa"/>
        <w:tblLayout w:type="fixed"/>
        <w:tblCellMar>
          <w:top w:w="0" w:type="dxa"/>
          <w:left w:w="108" w:type="dxa"/>
          <w:bottom w:w="0" w:type="dxa"/>
          <w:right w:w="108" w:type="dxa"/>
        </w:tblCellMar>
      </w:tblPr>
      <w:tblGrid>
        <w:gridCol w:w="189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189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189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执行能力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2.51</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创新能力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自我管理能力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学习能力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1.64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专业性知识与技能</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沟通与表达能力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职业适应能力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0.55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18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组织与管理能力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bl>
    <w:p>
      <w:pPr>
        <w:pStyle w:val="37"/>
        <w:ind w:firstLine="0" w:firstLineChars="0"/>
      </w:pPr>
    </w:p>
    <w:p>
      <w:pPr>
        <w:pStyle w:val="37"/>
        <w:ind w:firstLine="480"/>
      </w:pPr>
      <w:bookmarkStart w:id="256" w:name="PO_4322"/>
      <w:bookmarkEnd w:id="256"/>
      <w:r>
        <w:rPr>
          <w:rFonts w:hint="eastAsia"/>
        </w:rPr>
        <w:t>认为目前供职于本单位的毕业生最有待提升的三个职业素养依次为：积极主动、勤奋努力、忠诚可靠；最不需要提升的三个职业素养依次为：责任感强、严谨细致、忠于职守。</w:t>
      </w:r>
    </w:p>
    <w:p>
      <w:pPr>
        <w:jc w:val="center"/>
      </w:pPr>
      <w:r>
        <w:rPr>
          <w:rFonts w:hint="eastAsia"/>
        </w:rPr>
        <w:drawing>
          <wp:inline distT="0" distB="0" distL="0" distR="0">
            <wp:extent cx="6124575" cy="3077210"/>
            <wp:effectExtent l="19050" t="0" r="9525" b="8890"/>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59"/>
        <w:spacing w:before="156" w:after="312"/>
      </w:pPr>
      <w:r>
        <w:rPr>
          <w:rFonts w:hint="eastAsia"/>
        </w:rPr>
        <w:t>对毕业生各项职业素养提升的期待</w:t>
      </w:r>
    </w:p>
    <w:p>
      <w:pPr>
        <w:pStyle w:val="53"/>
        <w:spacing w:before="312" w:after="156"/>
      </w:pPr>
      <w:r>
        <w:rPr>
          <w:rFonts w:hint="eastAsia"/>
        </w:rPr>
        <w:t>对毕业生各项职业素养提升的期待</w:t>
      </w:r>
    </w:p>
    <w:tbl>
      <w:tblPr>
        <w:tblStyle w:val="33"/>
        <w:tblW w:w="6417" w:type="dxa"/>
        <w:jc w:val="center"/>
        <w:tblInd w:w="0" w:type="dxa"/>
        <w:tblLayout w:type="fixed"/>
        <w:tblCellMar>
          <w:top w:w="0" w:type="dxa"/>
          <w:left w:w="108" w:type="dxa"/>
          <w:bottom w:w="0" w:type="dxa"/>
          <w:right w:w="108" w:type="dxa"/>
        </w:tblCellMar>
      </w:tblPr>
      <w:tblGrid>
        <w:gridCol w:w="147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147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147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积极主动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2.51</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勤奋努力</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忠诚可靠</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爱岗敬业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乐于合作</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勇于承担责任</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忠于职守</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严谨细致</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270" w:hRule="atLeast"/>
          <w:jc w:val="center"/>
        </w:trPr>
        <w:tc>
          <w:tcPr>
            <w:tcW w:w="14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责任感强</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9</w:t>
            </w:r>
          </w:p>
        </w:tc>
      </w:tr>
    </w:tbl>
    <w:p>
      <w:pPr>
        <w:pStyle w:val="37"/>
        <w:ind w:firstLine="0" w:firstLineChars="0"/>
      </w:pPr>
    </w:p>
    <w:p>
      <w:pPr>
        <w:pStyle w:val="44"/>
        <w:spacing w:before="156"/>
      </w:pPr>
      <w:bookmarkStart w:id="257" w:name="_Toc470167449"/>
      <w:r>
        <w:t>3、对</w:t>
      </w:r>
      <w:r>
        <w:rPr>
          <w:rFonts w:hint="eastAsia"/>
        </w:rPr>
        <w:t>毕业生</w:t>
      </w:r>
      <w:r>
        <w:t>职业发展有</w:t>
      </w:r>
      <w:r>
        <w:rPr>
          <w:rFonts w:hint="eastAsia"/>
        </w:rPr>
        <w:t>助益</w:t>
      </w:r>
      <w:r>
        <w:t>的学校经历</w:t>
      </w:r>
      <w:bookmarkEnd w:id="257"/>
    </w:p>
    <w:p>
      <w:pPr>
        <w:pStyle w:val="37"/>
        <w:ind w:firstLine="480"/>
      </w:pPr>
      <w:bookmarkStart w:id="258" w:name="PO_433"/>
      <w:bookmarkEnd w:id="258"/>
      <w:r>
        <w:rPr>
          <w:rFonts w:hint="eastAsia"/>
        </w:rPr>
        <w:t>数据显示，调查单位认为对毕业生职业发展最有助益的前三项学校经历依次为：实习实践活动、公开发表论文、课外自学的知识和技能；助益程度较低的前三项学校经历依次为：社团活动、社会活动、参与科研课题。</w:t>
      </w:r>
    </w:p>
    <w:p>
      <w:pPr>
        <w:jc w:val="center"/>
      </w:pPr>
      <w:r>
        <w:rPr>
          <w:rFonts w:hint="eastAsia"/>
        </w:rPr>
        <w:drawing>
          <wp:inline distT="0" distB="0" distL="0" distR="0">
            <wp:extent cx="6124575" cy="3077210"/>
            <wp:effectExtent l="19050" t="0" r="9525" b="889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59"/>
        <w:spacing w:before="156" w:after="312"/>
      </w:pPr>
      <w:r>
        <w:rPr>
          <w:rFonts w:hint="eastAsia"/>
        </w:rPr>
        <w:t>对毕业生职业发展有助益的学校经历</w:t>
      </w:r>
    </w:p>
    <w:p>
      <w:pPr>
        <w:pStyle w:val="53"/>
        <w:spacing w:before="312" w:after="156"/>
      </w:pPr>
      <w:r>
        <w:rPr>
          <w:rFonts w:hint="eastAsia"/>
        </w:rPr>
        <w:t>对毕业生职业发展有助益的学校经历</w:t>
      </w:r>
    </w:p>
    <w:tbl>
      <w:tblPr>
        <w:tblStyle w:val="33"/>
        <w:tblW w:w="7257" w:type="dxa"/>
        <w:jc w:val="center"/>
        <w:tblInd w:w="0" w:type="dxa"/>
        <w:tblLayout w:type="fixed"/>
        <w:tblCellMar>
          <w:top w:w="0" w:type="dxa"/>
          <w:left w:w="108" w:type="dxa"/>
          <w:bottom w:w="0" w:type="dxa"/>
          <w:right w:w="108" w:type="dxa"/>
        </w:tblCellMar>
      </w:tblPr>
      <w:tblGrid>
        <w:gridCol w:w="231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231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231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实习实践活动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2.19</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公开发表论文</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2.07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课外自学的知识和技能</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1.64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担任学生干部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参与科研课题</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社会活动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231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社团活动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0.55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bl>
    <w:p>
      <w:pPr>
        <w:pStyle w:val="37"/>
        <w:ind w:firstLine="0" w:firstLineChars="0"/>
      </w:pPr>
    </w:p>
    <w:p>
      <w:pPr>
        <w:pStyle w:val="44"/>
        <w:spacing w:before="156"/>
      </w:pPr>
      <w:bookmarkStart w:id="259" w:name="_Toc470167450"/>
      <w:bookmarkStart w:id="260" w:name="_Toc406677101"/>
      <w:r>
        <w:rPr>
          <w:rFonts w:hint="eastAsia"/>
        </w:rPr>
        <w:t>4、工作中表现优秀的毕业生所具备的特征</w:t>
      </w:r>
      <w:bookmarkEnd w:id="259"/>
    </w:p>
    <w:p>
      <w:pPr>
        <w:pStyle w:val="37"/>
        <w:ind w:firstLine="480"/>
      </w:pPr>
      <w:bookmarkStart w:id="261" w:name="PO_434"/>
      <w:bookmarkEnd w:id="261"/>
      <w:r>
        <w:rPr>
          <w:rFonts w:hint="eastAsia"/>
        </w:rPr>
        <w:t>调查单位认为在本单位工作中表现优秀的毕业生主要具备的三个特征依次为：专业对口、实习实践经历丰富、社团或学生工作经验丰富。</w:t>
      </w:r>
    </w:p>
    <w:p>
      <w:pPr>
        <w:jc w:val="center"/>
      </w:pPr>
      <w:r>
        <w:rPr>
          <w:rFonts w:hint="eastAsia"/>
        </w:rPr>
        <w:drawing>
          <wp:inline distT="0" distB="0" distL="0" distR="0">
            <wp:extent cx="6124575" cy="3077210"/>
            <wp:effectExtent l="19050" t="0" r="9525" b="889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59"/>
        <w:spacing w:before="156" w:after="312"/>
      </w:pPr>
      <w:r>
        <w:rPr>
          <w:rFonts w:hint="eastAsia"/>
        </w:rPr>
        <w:t>工作中表现优秀的毕业生所具备的特征</w:t>
      </w:r>
    </w:p>
    <w:p>
      <w:pPr>
        <w:pStyle w:val="53"/>
        <w:spacing w:before="312" w:after="156"/>
      </w:pPr>
      <w:r>
        <w:rPr>
          <w:rFonts w:hint="eastAsia"/>
        </w:rPr>
        <w:t>工作中表现优秀的毕业生所具备的特征</w:t>
      </w:r>
    </w:p>
    <w:tbl>
      <w:tblPr>
        <w:tblStyle w:val="33"/>
        <w:tblW w:w="7467" w:type="dxa"/>
        <w:jc w:val="center"/>
        <w:tblInd w:w="0" w:type="dxa"/>
        <w:tblLayout w:type="fixed"/>
        <w:tblCellMar>
          <w:top w:w="0" w:type="dxa"/>
          <w:left w:w="108" w:type="dxa"/>
          <w:bottom w:w="0" w:type="dxa"/>
          <w:right w:w="108" w:type="dxa"/>
        </w:tblCellMar>
      </w:tblPr>
      <w:tblGrid>
        <w:gridCol w:w="252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252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252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252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专业对口</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1.79</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252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实习实践经历丰富</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2.00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252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社团或学生工作经验丰富</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252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来自名校</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1.64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252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文体特长多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0.55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bl>
    <w:p>
      <w:pPr>
        <w:pStyle w:val="37"/>
        <w:ind w:firstLine="0" w:firstLineChars="0"/>
      </w:pPr>
    </w:p>
    <w:p>
      <w:pPr>
        <w:pStyle w:val="44"/>
        <w:spacing w:before="156"/>
      </w:pPr>
      <w:bookmarkStart w:id="262" w:name="_Toc470167451"/>
      <w:r>
        <w:rPr>
          <w:rFonts w:hint="eastAsia"/>
        </w:rPr>
        <w:t>5、毕业生入职</w:t>
      </w:r>
      <w:r>
        <w:t>后转换工作的</w:t>
      </w:r>
      <w:r>
        <w:rPr>
          <w:rFonts w:hint="eastAsia"/>
        </w:rPr>
        <w:t>原因</w:t>
      </w:r>
      <w:bookmarkEnd w:id="262"/>
    </w:p>
    <w:p>
      <w:pPr>
        <w:pStyle w:val="37"/>
        <w:ind w:firstLine="480"/>
      </w:pPr>
      <w:bookmarkStart w:id="263" w:name="PO_435"/>
      <w:bookmarkEnd w:id="263"/>
      <w:r>
        <w:rPr>
          <w:rFonts w:hint="eastAsia"/>
        </w:rPr>
        <w:t>数据显示，调查单位认为毕业生入职后转换工作的三个主要原因依次为：薪酬福利偏低、准备求学深造、创业或从事自由职业、不能发挥专业所长；较不重要的三个原因依次为：家庭原因、工作压力太大、难以胜任工作要求。</w:t>
      </w:r>
    </w:p>
    <w:p>
      <w:pPr>
        <w:jc w:val="center"/>
      </w:pPr>
      <w:r>
        <w:rPr>
          <w:rFonts w:hint="eastAsia"/>
        </w:rPr>
        <w:drawing>
          <wp:inline distT="0" distB="0" distL="0" distR="0">
            <wp:extent cx="6124575" cy="3077210"/>
            <wp:effectExtent l="19050" t="0" r="9525" b="8890"/>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59"/>
        <w:spacing w:before="156" w:after="312"/>
      </w:pPr>
      <w:r>
        <w:rPr>
          <w:rFonts w:hint="eastAsia"/>
        </w:rPr>
        <w:t>毕业生入职后转换工作的原因</w:t>
      </w:r>
    </w:p>
    <w:p>
      <w:pPr>
        <w:pStyle w:val="53"/>
        <w:spacing w:before="312" w:after="156"/>
      </w:pPr>
      <w:r>
        <w:rPr>
          <w:rFonts w:hint="eastAsia"/>
        </w:rPr>
        <w:t>毕业生入职后转换工作的原因</w:t>
      </w:r>
    </w:p>
    <w:tbl>
      <w:tblPr>
        <w:tblStyle w:val="33"/>
        <w:tblW w:w="8517" w:type="dxa"/>
        <w:jc w:val="center"/>
        <w:tblInd w:w="0" w:type="dxa"/>
        <w:tblLayout w:type="fixed"/>
        <w:tblCellMar>
          <w:top w:w="0" w:type="dxa"/>
          <w:left w:w="108" w:type="dxa"/>
          <w:bottom w:w="0" w:type="dxa"/>
          <w:right w:w="108" w:type="dxa"/>
        </w:tblCellMar>
      </w:tblPr>
      <w:tblGrid>
        <w:gridCol w:w="357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357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357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薪酬福利偏低</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2.74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准备求学深造、创业或从事自由职业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1.64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不能发挥专业所长</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其他</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转换职业或行业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不能实现职业理想</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1.22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难以胜任工作要求</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工作压力太大</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270" w:hRule="atLeast"/>
          <w:jc w:val="center"/>
        </w:trPr>
        <w:tc>
          <w:tcPr>
            <w:tcW w:w="357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家庭原因</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0.45</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9</w:t>
            </w:r>
          </w:p>
        </w:tc>
      </w:tr>
    </w:tbl>
    <w:p>
      <w:pPr>
        <w:pStyle w:val="37"/>
        <w:ind w:firstLine="0" w:firstLineChars="0"/>
      </w:pPr>
    </w:p>
    <w:p>
      <w:pPr>
        <w:pStyle w:val="43"/>
        <w:spacing w:before="312" w:after="156"/>
      </w:pPr>
      <w:bookmarkStart w:id="264" w:name="_Toc470167452"/>
      <w:r>
        <w:rPr>
          <w:rFonts w:hint="eastAsia"/>
        </w:rPr>
        <w:t>四、</w:t>
      </w:r>
      <w:r>
        <w:t>调查单位对本校毕业生培养质量</w:t>
      </w:r>
      <w:r>
        <w:rPr>
          <w:rFonts w:hint="eastAsia"/>
        </w:rPr>
        <w:t>的</w:t>
      </w:r>
      <w:r>
        <w:t>评价</w:t>
      </w:r>
      <w:bookmarkEnd w:id="260"/>
      <w:bookmarkEnd w:id="264"/>
    </w:p>
    <w:p>
      <w:pPr>
        <w:pStyle w:val="44"/>
        <w:spacing w:before="156"/>
      </w:pPr>
      <w:bookmarkStart w:id="265" w:name="_Toc470167453"/>
      <w:r>
        <w:t>1、总体满意度</w:t>
      </w:r>
      <w:r>
        <w:rPr>
          <w:rFonts w:hint="eastAsia"/>
        </w:rPr>
        <w:t>评价</w:t>
      </w:r>
      <w:bookmarkEnd w:id="265"/>
    </w:p>
    <w:p>
      <w:pPr>
        <w:pStyle w:val="37"/>
        <w:ind w:firstLine="480"/>
      </w:pPr>
      <w:bookmarkStart w:id="266" w:name="PO_441"/>
      <w:bookmarkEnd w:id="266"/>
      <w:r>
        <w:rPr>
          <w:rFonts w:hint="eastAsia"/>
        </w:rPr>
        <w:t>2016年，调查单位对所招聘的本校毕业生总体满意度均值为4.20，相当于百分制的84.0分。其中，100.0%的调查单位表示“很满意”或“满意”。</w:t>
      </w:r>
    </w:p>
    <w:p>
      <w:pPr>
        <w:jc w:val="center"/>
      </w:pPr>
      <w:r>
        <w:rPr>
          <w:rFonts w:hint="eastAsia"/>
        </w:rPr>
        <w:drawing>
          <wp:inline distT="0" distB="0" distL="0" distR="0">
            <wp:extent cx="6076950" cy="3077210"/>
            <wp:effectExtent l="19050" t="0" r="19050" b="889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59"/>
        <w:spacing w:before="156" w:after="312"/>
      </w:pPr>
      <w:r>
        <w:rPr>
          <w:rFonts w:hint="eastAsia"/>
        </w:rPr>
        <w:t>总体满意度评价</w:t>
      </w:r>
    </w:p>
    <w:p>
      <w:pPr>
        <w:pStyle w:val="53"/>
        <w:spacing w:before="312" w:after="156"/>
      </w:pPr>
      <w:r>
        <w:rPr>
          <w:rFonts w:hint="eastAsia"/>
        </w:rPr>
        <w:t>总体满意度评价</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80.0</w:t>
            </w:r>
          </w:p>
        </w:tc>
      </w:tr>
    </w:tbl>
    <w:p>
      <w:pPr>
        <w:pStyle w:val="37"/>
        <w:ind w:firstLine="0" w:firstLineChars="0"/>
      </w:pPr>
    </w:p>
    <w:p>
      <w:pPr>
        <w:pStyle w:val="44"/>
        <w:spacing w:before="156"/>
      </w:pPr>
      <w:bookmarkStart w:id="267" w:name="_Toc470167454"/>
      <w:r>
        <w:t>2、</w:t>
      </w:r>
      <w:r>
        <w:rPr>
          <w:rFonts w:hint="eastAsia"/>
        </w:rPr>
        <w:t>专业知识和技能的总体满意度评价</w:t>
      </w:r>
      <w:bookmarkEnd w:id="267"/>
    </w:p>
    <w:p>
      <w:pPr>
        <w:pStyle w:val="37"/>
        <w:ind w:firstLine="480"/>
      </w:pPr>
      <w:bookmarkStart w:id="268" w:name="PO_442"/>
      <w:bookmarkEnd w:id="268"/>
      <w:r>
        <w:rPr>
          <w:rFonts w:hint="eastAsia"/>
        </w:rPr>
        <w:t>2016年，调查单位对所招聘的本校毕业生专业知识和技能的总体满意度均值为4.20，相当于百分制的84.0分。其中，100.0%的调查单位表示“很满意”或“满意”。</w:t>
      </w:r>
    </w:p>
    <w:p>
      <w:pPr>
        <w:jc w:val="center"/>
      </w:pPr>
      <w:r>
        <w:rPr>
          <w:rFonts w:hint="eastAsia"/>
        </w:rPr>
        <w:drawing>
          <wp:inline distT="0" distB="0" distL="0" distR="0">
            <wp:extent cx="6076950" cy="3077210"/>
            <wp:effectExtent l="19050" t="0" r="19050" b="889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59"/>
        <w:spacing w:before="156" w:after="312"/>
      </w:pPr>
      <w:r>
        <w:rPr>
          <w:rFonts w:hint="eastAsia"/>
        </w:rPr>
        <w:t>专业知识和技能的总体满意度评价</w:t>
      </w:r>
    </w:p>
    <w:p>
      <w:pPr>
        <w:pStyle w:val="53"/>
        <w:spacing w:before="312" w:after="156"/>
      </w:pPr>
      <w:r>
        <w:rPr>
          <w:rFonts w:hint="eastAsia"/>
        </w:rPr>
        <w:t>专业知识和技能的总体满意度评价</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80.0</w:t>
            </w:r>
          </w:p>
        </w:tc>
      </w:tr>
    </w:tbl>
    <w:p>
      <w:pPr>
        <w:pStyle w:val="37"/>
        <w:ind w:firstLine="0" w:firstLineChars="0"/>
      </w:pPr>
    </w:p>
    <w:p>
      <w:pPr>
        <w:pStyle w:val="44"/>
        <w:spacing w:before="156"/>
      </w:pPr>
      <w:bookmarkStart w:id="269" w:name="_Toc470167455"/>
      <w:r>
        <w:t>3、</w:t>
      </w:r>
      <w:r>
        <w:rPr>
          <w:rFonts w:hint="eastAsia" w:cs="Times New Roman"/>
          <w:color w:val="000000" w:themeColor="text1"/>
        </w:rPr>
        <w:t>对</w:t>
      </w:r>
      <w:r>
        <w:rPr>
          <w:rFonts w:hint="eastAsia"/>
        </w:rPr>
        <w:t>求职过程中表现的积极程度评价</w:t>
      </w:r>
      <w:bookmarkEnd w:id="269"/>
    </w:p>
    <w:p>
      <w:pPr>
        <w:pStyle w:val="37"/>
        <w:ind w:firstLine="480"/>
      </w:pPr>
      <w:bookmarkStart w:id="270" w:name="PO_443"/>
      <w:bookmarkEnd w:id="270"/>
      <w:r>
        <w:rPr>
          <w:rFonts w:hint="eastAsia"/>
        </w:rPr>
        <w:t>2016年，调查单位对我校毕业生在求职过程中表现的积极程度评价均值为4.20，相当于百分制的84.0分。其中，100.0%的调查单位表示“很积极”或“积极”。</w:t>
      </w:r>
    </w:p>
    <w:p>
      <w:pPr>
        <w:jc w:val="center"/>
      </w:pPr>
      <w:r>
        <w:rPr>
          <w:rFonts w:hint="eastAsia"/>
        </w:rPr>
        <w:drawing>
          <wp:inline distT="0" distB="0" distL="0" distR="0">
            <wp:extent cx="6076950" cy="3077210"/>
            <wp:effectExtent l="19050" t="0" r="19050" b="8890"/>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59"/>
        <w:spacing w:before="156" w:after="312"/>
      </w:pPr>
      <w:r>
        <w:rPr>
          <w:rFonts w:hint="eastAsia"/>
        </w:rPr>
        <w:t>对求职过程中表现的积极程度评价</w:t>
      </w:r>
    </w:p>
    <w:p>
      <w:pPr>
        <w:pStyle w:val="53"/>
        <w:spacing w:before="312" w:after="156"/>
      </w:pPr>
      <w:r>
        <w:rPr>
          <w:rFonts w:hint="eastAsia"/>
        </w:rPr>
        <w:t>对求职过程中表现的积极程度评价</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很积极</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20.0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积极</w:t>
            </w:r>
          </w:p>
        </w:tc>
        <w:tc>
          <w:tcPr>
            <w:tcW w:w="368" w:type="dxa"/>
            <w:shd w:val="clear" w:color="auto" w:fill="auto"/>
            <w:vAlign w:val="center"/>
          </w:tcPr>
          <w:p>
            <w:pPr>
              <w:pStyle w:val="52"/>
              <w:jc w:val="center"/>
              <w:rPr>
                <w:kern w:val="0"/>
              </w:rPr>
            </w:pPr>
            <w:r>
              <w:rPr>
                <w:kern w:val="0"/>
              </w:rPr>
              <w:t>4</w:t>
            </w:r>
          </w:p>
        </w:tc>
        <w:tc>
          <w:tcPr>
            <w:tcW w:w="584" w:type="dxa"/>
            <w:shd w:val="clear" w:color="auto" w:fill="auto"/>
            <w:vAlign w:val="center"/>
          </w:tcPr>
          <w:p>
            <w:pPr>
              <w:pStyle w:val="52"/>
              <w:jc w:val="center"/>
              <w:rPr>
                <w:kern w:val="0"/>
              </w:rPr>
            </w:pPr>
            <w:r>
              <w:rPr>
                <w:kern w:val="0"/>
              </w:rPr>
              <w:t>80.0</w:t>
            </w:r>
          </w:p>
        </w:tc>
      </w:tr>
    </w:tbl>
    <w:p>
      <w:pPr>
        <w:pStyle w:val="37"/>
        <w:ind w:firstLine="0" w:firstLineChars="0"/>
      </w:pPr>
    </w:p>
    <w:p>
      <w:pPr>
        <w:pStyle w:val="43"/>
        <w:spacing w:before="312" w:after="156"/>
        <w:rPr>
          <w:rFonts w:ascii="Times New Roman" w:hAnsi="Times New Roman"/>
        </w:rPr>
      </w:pPr>
      <w:bookmarkStart w:id="271" w:name="_Toc470167456"/>
      <w:r>
        <w:rPr>
          <w:rFonts w:hint="eastAsia" w:ascii="Times New Roman" w:hAnsi="Times New Roman"/>
        </w:rPr>
        <w:t>五、</w:t>
      </w:r>
      <w:r>
        <w:t>调查单位对</w:t>
      </w:r>
      <w:r>
        <w:rPr>
          <w:rFonts w:hint="eastAsia"/>
        </w:rPr>
        <w:t>本校</w:t>
      </w:r>
      <w:r>
        <w:t>就业服务的评价</w:t>
      </w:r>
      <w:bookmarkEnd w:id="271"/>
    </w:p>
    <w:p>
      <w:pPr>
        <w:pStyle w:val="44"/>
        <w:spacing w:before="156"/>
      </w:pPr>
      <w:bookmarkStart w:id="272" w:name="_Toc470167457"/>
      <w:r>
        <w:t>1、有效校园招聘渠道</w:t>
      </w:r>
      <w:bookmarkEnd w:id="272"/>
    </w:p>
    <w:p>
      <w:pPr>
        <w:pStyle w:val="37"/>
        <w:ind w:firstLine="480"/>
      </w:pPr>
      <w:bookmarkStart w:id="273" w:name="PO_4511"/>
      <w:bookmarkEnd w:id="273"/>
      <w:r>
        <w:rPr>
          <w:rFonts w:hint="eastAsia"/>
        </w:rPr>
        <w:t>2016年，调查单位招聘本校毕业生最常用的四个校园招聘渠道依次为：学校组织的招聘会、校友推荐、老师推荐、学校发布的招聘信息。</w:t>
      </w:r>
    </w:p>
    <w:p>
      <w:pPr>
        <w:jc w:val="center"/>
      </w:pPr>
      <w:r>
        <w:rPr>
          <w:rFonts w:hint="eastAsia"/>
        </w:rPr>
        <w:drawing>
          <wp:inline distT="0" distB="0" distL="0" distR="0">
            <wp:extent cx="6124575" cy="3077210"/>
            <wp:effectExtent l="19050" t="0" r="9525" b="8890"/>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59"/>
        <w:spacing w:before="156" w:after="312"/>
      </w:pPr>
      <w:r>
        <w:rPr>
          <w:rFonts w:hint="eastAsia"/>
        </w:rPr>
        <w:t>有效校园招聘渠道</w:t>
      </w:r>
    </w:p>
    <w:p>
      <w:pPr>
        <w:pStyle w:val="53"/>
        <w:spacing w:before="312" w:after="156"/>
      </w:pPr>
      <w:r>
        <w:rPr>
          <w:rFonts w:hint="eastAsia"/>
        </w:rPr>
        <w:t>有效校园招聘渠道</w:t>
      </w:r>
    </w:p>
    <w:tbl>
      <w:tblPr>
        <w:tblStyle w:val="33"/>
        <w:tblW w:w="7677" w:type="dxa"/>
        <w:jc w:val="center"/>
        <w:tblInd w:w="0" w:type="dxa"/>
        <w:tblLayout w:type="fixed"/>
        <w:tblCellMar>
          <w:top w:w="0" w:type="dxa"/>
          <w:left w:w="108" w:type="dxa"/>
          <w:bottom w:w="0" w:type="dxa"/>
          <w:right w:w="108" w:type="dxa"/>
        </w:tblCellMar>
      </w:tblPr>
      <w:tblGrid>
        <w:gridCol w:w="273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273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273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学校组织的招聘会</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校友推荐</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2.07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老师推荐</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1.52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学校发布的招聘信息</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1.40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1.52</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校企合作培养</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不通过校园渠道招聘毕业生</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273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其他校园渠道</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bl>
    <w:p>
      <w:pPr>
        <w:pStyle w:val="37"/>
        <w:ind w:firstLine="0" w:firstLineChars="0"/>
      </w:pPr>
    </w:p>
    <w:p>
      <w:pPr>
        <w:pStyle w:val="37"/>
        <w:ind w:firstLine="480"/>
      </w:pPr>
      <w:bookmarkStart w:id="274" w:name="PO_4512"/>
      <w:bookmarkEnd w:id="274"/>
      <w:r>
        <w:rPr>
          <w:rFonts w:hint="eastAsia"/>
        </w:rPr>
        <w:t>对于所选择的校园招聘渠道的服务，调查单位的满意度均值为3.40，相当于百分制的68.0分。其中，100.0%的调查单位表示“很满意”或“满意”。</w:t>
      </w:r>
    </w:p>
    <w:p>
      <w:pPr>
        <w:jc w:val="center"/>
      </w:pPr>
      <w:r>
        <w:rPr>
          <w:rFonts w:hint="eastAsia"/>
        </w:rPr>
        <w:drawing>
          <wp:inline distT="0" distB="0" distL="0" distR="0">
            <wp:extent cx="6076950" cy="3077210"/>
            <wp:effectExtent l="19050" t="0" r="19050" b="8890"/>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59"/>
        <w:spacing w:before="156" w:after="312"/>
      </w:pPr>
      <w:r>
        <w:rPr>
          <w:rFonts w:hint="eastAsia"/>
        </w:rPr>
        <w:t>校园招聘渠道服务的满意度</w:t>
      </w:r>
    </w:p>
    <w:p>
      <w:pPr>
        <w:pStyle w:val="53"/>
        <w:spacing w:before="312" w:after="156"/>
      </w:pPr>
      <w:r>
        <w:rPr>
          <w:rFonts w:hint="eastAsia"/>
        </w:rPr>
        <w:t>校园招聘渠道服务的满意度</w:t>
      </w:r>
    </w:p>
    <w:tbl>
      <w:tblPr>
        <w:tblStyle w:val="33"/>
        <w:tblW w:w="1798" w:type="dxa"/>
        <w:jc w:val="center"/>
        <w:tblInd w:w="0" w:type="dxa"/>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
      <w:tblGrid>
        <w:gridCol w:w="846"/>
        <w:gridCol w:w="368"/>
        <w:gridCol w:w="584"/>
      </w:tblGrid>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85" w:hRule="atLeast"/>
          <w:jc w:val="center"/>
        </w:trPr>
        <w:tc>
          <w:tcPr>
            <w:tcW w:w="846" w:type="dxa"/>
            <w:shd w:val="clear" w:color="auto" w:fill="auto"/>
            <w:vAlign w:val="center"/>
          </w:tcPr>
          <w:p>
            <w:pPr>
              <w:pStyle w:val="52"/>
              <w:jc w:val="center"/>
              <w:rPr>
                <w:kern w:val="0"/>
              </w:rPr>
            </w:pPr>
          </w:p>
        </w:tc>
        <w:tc>
          <w:tcPr>
            <w:tcW w:w="368" w:type="dxa"/>
            <w:shd w:val="clear" w:color="auto" w:fill="auto"/>
            <w:vAlign w:val="center"/>
          </w:tcPr>
          <w:p>
            <w:pPr>
              <w:pStyle w:val="52"/>
              <w:jc w:val="center"/>
              <w:rPr>
                <w:kern w:val="0"/>
              </w:rPr>
            </w:pPr>
            <w:r>
              <w:rPr>
                <w:rFonts w:hint="eastAsia"/>
                <w:kern w:val="0"/>
              </w:rPr>
              <w:t>N</w:t>
            </w:r>
          </w:p>
        </w:tc>
        <w:tc>
          <w:tcPr>
            <w:tcW w:w="584" w:type="dxa"/>
            <w:shd w:val="clear" w:color="auto" w:fill="auto"/>
            <w:vAlign w:val="center"/>
          </w:tcPr>
          <w:p>
            <w:pPr>
              <w:pStyle w:val="52"/>
              <w:jc w:val="center"/>
              <w:rPr>
                <w:kern w:val="0"/>
              </w:rPr>
            </w:pPr>
            <w:r>
              <w:rPr>
                <w:rFonts w:hint="eastAsia"/>
                <w:kern w:val="0"/>
              </w:rPr>
              <w:t>%</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很满意</w:t>
            </w:r>
          </w:p>
        </w:tc>
        <w:tc>
          <w:tcPr>
            <w:tcW w:w="368" w:type="dxa"/>
            <w:shd w:val="clear" w:color="auto" w:fill="auto"/>
            <w:vAlign w:val="center"/>
          </w:tcPr>
          <w:p>
            <w:pPr>
              <w:pStyle w:val="52"/>
              <w:jc w:val="center"/>
              <w:rPr>
                <w:kern w:val="0"/>
              </w:rPr>
            </w:pPr>
            <w:r>
              <w:rPr>
                <w:kern w:val="0"/>
              </w:rPr>
              <w:t>1</w:t>
            </w:r>
          </w:p>
        </w:tc>
        <w:tc>
          <w:tcPr>
            <w:tcW w:w="584" w:type="dxa"/>
            <w:shd w:val="clear" w:color="auto" w:fill="auto"/>
            <w:vAlign w:val="center"/>
          </w:tcPr>
          <w:p>
            <w:pPr>
              <w:pStyle w:val="52"/>
              <w:jc w:val="center"/>
              <w:rPr>
                <w:kern w:val="0"/>
              </w:rPr>
            </w:pPr>
            <w:r>
              <w:rPr>
                <w:kern w:val="0"/>
              </w:rPr>
              <w:t>25.0</w:t>
            </w:r>
          </w:p>
        </w:tc>
      </w:tr>
      <w:tr>
        <w:tblPrEx>
          <w:tblBorders>
            <w:top w:val="single" w:color="00B050" w:sz="8" w:space="0"/>
            <w:left w:val="single" w:color="00B050" w:sz="8" w:space="0"/>
            <w:bottom w:val="single" w:color="00B050" w:sz="4" w:space="0"/>
            <w:right w:val="single" w:color="00B050" w:sz="8" w:space="0"/>
            <w:insideH w:val="single" w:color="00B050" w:sz="8" w:space="0"/>
            <w:insideV w:val="dotted" w:color="00B050" w:sz="4" w:space="0"/>
          </w:tblBorders>
          <w:tblLayout w:type="fixed"/>
          <w:tblCellMar>
            <w:top w:w="0" w:type="dxa"/>
            <w:left w:w="108" w:type="dxa"/>
            <w:bottom w:w="0" w:type="dxa"/>
            <w:right w:w="108" w:type="dxa"/>
          </w:tblCellMar>
        </w:tblPrEx>
        <w:trPr>
          <w:trHeight w:val="270" w:hRule="atLeast"/>
          <w:jc w:val="center"/>
        </w:trPr>
        <w:tc>
          <w:tcPr>
            <w:tcW w:w="846" w:type="dxa"/>
            <w:shd w:val="clear" w:color="auto" w:fill="auto"/>
            <w:vAlign w:val="center"/>
          </w:tcPr>
          <w:p>
            <w:pPr>
              <w:pStyle w:val="52"/>
              <w:rPr>
                <w:kern w:val="0"/>
              </w:rPr>
            </w:pPr>
            <w:r>
              <w:rPr>
                <w:rFonts w:hint="eastAsia"/>
                <w:kern w:val="0"/>
              </w:rPr>
              <w:t>满意</w:t>
            </w:r>
          </w:p>
        </w:tc>
        <w:tc>
          <w:tcPr>
            <w:tcW w:w="368" w:type="dxa"/>
            <w:shd w:val="clear" w:color="auto" w:fill="auto"/>
            <w:vAlign w:val="center"/>
          </w:tcPr>
          <w:p>
            <w:pPr>
              <w:pStyle w:val="52"/>
              <w:jc w:val="center"/>
              <w:rPr>
                <w:kern w:val="0"/>
              </w:rPr>
            </w:pPr>
            <w:r>
              <w:rPr>
                <w:kern w:val="0"/>
              </w:rPr>
              <w:t>3</w:t>
            </w:r>
          </w:p>
        </w:tc>
        <w:tc>
          <w:tcPr>
            <w:tcW w:w="584" w:type="dxa"/>
            <w:shd w:val="clear" w:color="auto" w:fill="auto"/>
            <w:vAlign w:val="center"/>
          </w:tcPr>
          <w:p>
            <w:pPr>
              <w:pStyle w:val="52"/>
              <w:jc w:val="center"/>
              <w:rPr>
                <w:kern w:val="0"/>
              </w:rPr>
            </w:pPr>
            <w:r>
              <w:rPr>
                <w:kern w:val="0"/>
              </w:rPr>
              <w:t>75.0</w:t>
            </w:r>
          </w:p>
        </w:tc>
      </w:tr>
    </w:tbl>
    <w:p>
      <w:pPr>
        <w:pStyle w:val="37"/>
        <w:ind w:firstLine="0" w:firstLineChars="0"/>
      </w:pPr>
    </w:p>
    <w:p>
      <w:pPr>
        <w:pStyle w:val="44"/>
        <w:spacing w:before="156"/>
      </w:pPr>
      <w:bookmarkStart w:id="275" w:name="_Toc470167458"/>
      <w:r>
        <w:t>2、最需要</w:t>
      </w:r>
      <w:r>
        <w:rPr>
          <w:rFonts w:hint="eastAsia"/>
        </w:rPr>
        <w:t>本</w:t>
      </w:r>
      <w:r>
        <w:t>校</w:t>
      </w:r>
      <w:r>
        <w:rPr>
          <w:rFonts w:hint="eastAsia"/>
        </w:rPr>
        <w:t>提供</w:t>
      </w:r>
      <w:r>
        <w:t>的就业服务</w:t>
      </w:r>
      <w:bookmarkEnd w:id="275"/>
    </w:p>
    <w:p>
      <w:pPr>
        <w:pStyle w:val="37"/>
        <w:ind w:firstLine="480"/>
      </w:pPr>
      <w:bookmarkStart w:id="276" w:name="PO_452"/>
      <w:bookmarkEnd w:id="276"/>
      <w:r>
        <w:rPr>
          <w:rFonts w:hint="eastAsia"/>
        </w:rPr>
        <w:t>调查单位最需要本校提供的前三项就业服务依次为：招聘信息的发布、组织实习实践活动、就业派遣手续的办理；较不需要本校提供的前三项就业服务为：配合用人单位开展人力资源调查、校园招聘会的组织、人才培养合作。</w:t>
      </w:r>
    </w:p>
    <w:p>
      <w:pPr>
        <w:jc w:val="center"/>
      </w:pPr>
      <w:r>
        <w:rPr>
          <w:rFonts w:hint="eastAsia"/>
        </w:rPr>
        <w:drawing>
          <wp:inline distT="0" distB="0" distL="0" distR="0">
            <wp:extent cx="6124575" cy="3077210"/>
            <wp:effectExtent l="19050" t="0" r="9525" b="8890"/>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59"/>
        <w:spacing w:before="156" w:after="312"/>
      </w:pPr>
      <w:r>
        <w:rPr>
          <w:rFonts w:hint="eastAsia"/>
        </w:rPr>
        <w:t>用人单位最需要本校提供的就业服务</w:t>
      </w:r>
    </w:p>
    <w:p>
      <w:pPr>
        <w:pStyle w:val="53"/>
        <w:spacing w:before="312" w:after="156"/>
      </w:pPr>
      <w:r>
        <w:rPr>
          <w:rFonts w:hint="eastAsia"/>
        </w:rPr>
        <w:t>用人单位最需要本校提供的就业服务</w:t>
      </w:r>
    </w:p>
    <w:tbl>
      <w:tblPr>
        <w:tblStyle w:val="33"/>
        <w:tblW w:w="9147" w:type="dxa"/>
        <w:jc w:val="center"/>
        <w:tblInd w:w="0" w:type="dxa"/>
        <w:tblLayout w:type="fixed"/>
        <w:tblCellMar>
          <w:top w:w="0" w:type="dxa"/>
          <w:left w:w="108" w:type="dxa"/>
          <w:bottom w:w="0" w:type="dxa"/>
          <w:right w:w="108" w:type="dxa"/>
        </w:tblCellMar>
      </w:tblPr>
      <w:tblGrid>
        <w:gridCol w:w="4206"/>
        <w:gridCol w:w="352"/>
        <w:gridCol w:w="589"/>
        <w:gridCol w:w="352"/>
        <w:gridCol w:w="589"/>
        <w:gridCol w:w="352"/>
        <w:gridCol w:w="589"/>
        <w:gridCol w:w="636"/>
        <w:gridCol w:w="846"/>
        <w:gridCol w:w="636"/>
      </w:tblGrid>
      <w:tr>
        <w:tblPrEx>
          <w:tblLayout w:type="fixed"/>
          <w:tblCellMar>
            <w:top w:w="0" w:type="dxa"/>
            <w:left w:w="108" w:type="dxa"/>
            <w:bottom w:w="0" w:type="dxa"/>
            <w:right w:w="108" w:type="dxa"/>
          </w:tblCellMar>
        </w:tblPrEx>
        <w:trPr>
          <w:trHeight w:val="285" w:hRule="atLeast"/>
          <w:jc w:val="center"/>
        </w:trPr>
        <w:tc>
          <w:tcPr>
            <w:tcW w:w="4206" w:type="dxa"/>
            <w:vMerge w:val="restart"/>
            <w:tcBorders>
              <w:top w:val="single" w:color="00B050" w:sz="8" w:space="0"/>
              <w:left w:val="single" w:color="00B050" w:sz="8" w:space="0"/>
              <w:right w:val="dotted" w:color="00B050" w:sz="8" w:space="0"/>
            </w:tcBorders>
            <w:shd w:val="clear" w:color="auto" w:fill="auto"/>
            <w:vAlign w:val="center"/>
          </w:tcPr>
          <w:p>
            <w:pPr>
              <w:widowControl/>
              <w:rPr>
                <w:color w:val="000000"/>
                <w:kern w:val="0"/>
                <w:szCs w:val="21"/>
              </w:rPr>
            </w:pP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首选</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第二位</w:t>
            </w:r>
          </w:p>
        </w:tc>
        <w:tc>
          <w:tcPr>
            <w:tcW w:w="941" w:type="dxa"/>
            <w:gridSpan w:val="2"/>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第三位</w:t>
            </w:r>
          </w:p>
        </w:tc>
        <w:tc>
          <w:tcPr>
            <w:tcW w:w="2118"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加权</w:t>
            </w:r>
          </w:p>
        </w:tc>
      </w:tr>
      <w:tr>
        <w:tblPrEx>
          <w:tblLayout w:type="fixed"/>
          <w:tblCellMar>
            <w:top w:w="0" w:type="dxa"/>
            <w:left w:w="108" w:type="dxa"/>
            <w:bottom w:w="0" w:type="dxa"/>
            <w:right w:w="108" w:type="dxa"/>
          </w:tblCellMar>
        </w:tblPrEx>
        <w:trPr>
          <w:trHeight w:val="285" w:hRule="atLeast"/>
          <w:jc w:val="center"/>
        </w:trPr>
        <w:tc>
          <w:tcPr>
            <w:tcW w:w="420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352"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N</w:t>
            </w:r>
          </w:p>
        </w:tc>
        <w:tc>
          <w:tcPr>
            <w:tcW w:w="589"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w:t>
            </w:r>
          </w:p>
        </w:tc>
        <w:tc>
          <w:tcPr>
            <w:tcW w:w="63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color w:val="000000"/>
                <w:kern w:val="0"/>
                <w:szCs w:val="21"/>
              </w:rPr>
              <w:t>均值</w:t>
            </w:r>
          </w:p>
        </w:tc>
        <w:tc>
          <w:tcPr>
            <w:tcW w:w="846" w:type="dxa"/>
            <w:tcBorders>
              <w:top w:val="nil"/>
              <w:left w:val="dotted" w:color="00B050" w:sz="8" w:space="0"/>
              <w:bottom w:val="single" w:color="00B050" w:sz="8" w:space="0"/>
              <w:right w:val="dotted" w:color="00B050" w:sz="8" w:space="0"/>
            </w:tcBorders>
            <w:shd w:val="clear" w:color="auto" w:fill="auto"/>
            <w:vAlign w:val="center"/>
          </w:tcPr>
          <w:p>
            <w:pPr>
              <w:widowControl/>
              <w:jc w:val="center"/>
              <w:rPr>
                <w:kern w:val="0"/>
                <w:szCs w:val="21"/>
              </w:rPr>
            </w:pPr>
            <w:r>
              <w:rPr>
                <w:kern w:val="0"/>
                <w:szCs w:val="21"/>
              </w:rPr>
              <w:t>标准差</w:t>
            </w:r>
          </w:p>
        </w:tc>
        <w:tc>
          <w:tcPr>
            <w:tcW w:w="636" w:type="dxa"/>
            <w:tcBorders>
              <w:top w:val="nil"/>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排序</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招聘信息的发布</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60.0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3.00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2.74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1</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组织实习实践活动</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40.0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2</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就业派遣手续的办理</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1.20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2.17</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3</w:t>
            </w:r>
          </w:p>
        </w:tc>
      </w:tr>
      <w:tr>
        <w:tblPrEx>
          <w:tblLayout w:type="fixed"/>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根据用人单位的个性化需求并提供相应服务</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2.24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4</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人才培养合作</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5</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校园招聘会的组织</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0.80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1.30</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6</w:t>
            </w:r>
          </w:p>
        </w:tc>
      </w:tr>
      <w:tr>
        <w:tblPrEx>
          <w:tblLayout w:type="fixed"/>
          <w:tblCellMar>
            <w:top w:w="0" w:type="dxa"/>
            <w:left w:w="108" w:type="dxa"/>
            <w:bottom w:w="0" w:type="dxa"/>
            <w:right w:w="108" w:type="dxa"/>
          </w:tblCellMar>
        </w:tblPrEx>
        <w:trPr>
          <w:trHeight w:val="270" w:hRule="atLeast"/>
          <w:jc w:val="center"/>
        </w:trPr>
        <w:tc>
          <w:tcPr>
            <w:tcW w:w="420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Cs w:val="21"/>
              </w:rPr>
            </w:pPr>
            <w:r>
              <w:rPr>
                <w:rFonts w:hint="eastAsia"/>
                <w:color w:val="000000"/>
                <w:szCs w:val="21"/>
              </w:rPr>
              <w:t>配合用人单位开展人力资源调查</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1</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20.0</w:t>
            </w:r>
          </w:p>
        </w:tc>
        <w:tc>
          <w:tcPr>
            <w:tcW w:w="352"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w:t>
            </w:r>
          </w:p>
        </w:tc>
        <w:tc>
          <w:tcPr>
            <w:tcW w:w="589"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Cs w:val="21"/>
              </w:rPr>
            </w:pPr>
            <w:r>
              <w:rPr>
                <w:color w:val="000000"/>
                <w:szCs w:val="21"/>
              </w:rPr>
              <w:t>0.60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szCs w:val="21"/>
              </w:rPr>
            </w:pPr>
            <w:r>
              <w:rPr>
                <w:szCs w:val="21"/>
              </w:rPr>
              <w:t>1.34</w:t>
            </w:r>
          </w:p>
        </w:tc>
        <w:tc>
          <w:tcPr>
            <w:tcW w:w="63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Cs w:val="21"/>
              </w:rPr>
            </w:pPr>
            <w:r>
              <w:rPr>
                <w:color w:val="000000"/>
                <w:szCs w:val="21"/>
              </w:rPr>
              <w:t>7</w:t>
            </w:r>
          </w:p>
        </w:tc>
      </w:tr>
    </w:tbl>
    <w:p>
      <w:pPr>
        <w:pStyle w:val="37"/>
        <w:ind w:firstLine="0" w:firstLineChars="0"/>
      </w:pPr>
    </w:p>
    <w:p>
      <w:pPr>
        <w:pStyle w:val="44"/>
        <w:spacing w:before="156"/>
      </w:pPr>
      <w:bookmarkStart w:id="277" w:name="_Toc470167459"/>
      <w:r>
        <w:rPr>
          <w:rFonts w:hint="eastAsia"/>
        </w:rPr>
        <w:t>3、</w:t>
      </w:r>
      <w:r>
        <w:t>对本校就业</w:t>
      </w:r>
      <w:r>
        <w:rPr>
          <w:rFonts w:hint="eastAsia"/>
        </w:rPr>
        <w:t>指导与服务</w:t>
      </w:r>
      <w:r>
        <w:t>工作的评价</w:t>
      </w:r>
      <w:bookmarkEnd w:id="277"/>
    </w:p>
    <w:p>
      <w:pPr>
        <w:pStyle w:val="37"/>
        <w:ind w:firstLine="480"/>
      </w:pPr>
      <w:bookmarkStart w:id="278" w:name="PO_453"/>
      <w:bookmarkEnd w:id="278"/>
      <w:r>
        <w:rPr>
          <w:rFonts w:hint="eastAsia"/>
        </w:rPr>
        <w:t>调查单位对调查单位对本校就业指导与服务工作总体满意度（各个条目加总）的均值为 4.19，相当于百分制的83.8分。其中，满意度较高的前六项工作依次是：了解用人单位的个性化需求并提供相应服务、就业派遣手续的办理、组织实习实践活动、学校对毕业生的推荐工作、校园招聘会的组织、招聘信息的发布。</w:t>
      </w:r>
    </w:p>
    <w:p>
      <w:pPr>
        <w:jc w:val="center"/>
      </w:pPr>
      <w:r>
        <w:rPr>
          <w:rFonts w:hint="eastAsia"/>
        </w:rPr>
        <w:drawing>
          <wp:inline distT="0" distB="0" distL="0" distR="0">
            <wp:extent cx="6248400" cy="4219575"/>
            <wp:effectExtent l="0" t="0" r="0" b="0"/>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59"/>
        <w:spacing w:before="156" w:after="312"/>
      </w:pPr>
      <w:r>
        <w:rPr>
          <w:rFonts w:hint="eastAsia"/>
        </w:rPr>
        <w:t>调查单位对本校就业指导与服务工作满意度</w:t>
      </w:r>
    </w:p>
    <w:p>
      <w:pPr>
        <w:pStyle w:val="53"/>
        <w:spacing w:before="312" w:after="156"/>
      </w:pPr>
      <w:r>
        <w:rPr>
          <w:rFonts w:hint="eastAsia"/>
        </w:rPr>
        <w:t>调查单位对本校就业指导与服务工作满意度</w:t>
      </w:r>
    </w:p>
    <w:tbl>
      <w:tblPr>
        <w:tblStyle w:val="33"/>
        <w:tblW w:w="9486" w:type="dxa"/>
        <w:jc w:val="center"/>
        <w:tblInd w:w="0" w:type="dxa"/>
        <w:tblLayout w:type="fixed"/>
        <w:tblCellMar>
          <w:top w:w="0" w:type="dxa"/>
          <w:left w:w="108" w:type="dxa"/>
          <w:bottom w:w="0" w:type="dxa"/>
          <w:right w:w="108" w:type="dxa"/>
        </w:tblCellMar>
      </w:tblPr>
      <w:tblGrid>
        <w:gridCol w:w="4396"/>
        <w:gridCol w:w="1056"/>
        <w:gridCol w:w="352"/>
        <w:gridCol w:w="636"/>
        <w:gridCol w:w="846"/>
        <w:gridCol w:w="718"/>
        <w:gridCol w:w="636"/>
        <w:gridCol w:w="846"/>
      </w:tblGrid>
      <w:tr>
        <w:tblPrEx>
          <w:tblLayout w:type="fixed"/>
          <w:tblCellMar>
            <w:top w:w="0" w:type="dxa"/>
            <w:left w:w="108" w:type="dxa"/>
            <w:bottom w:w="0" w:type="dxa"/>
            <w:right w:w="108" w:type="dxa"/>
          </w:tblCellMar>
        </w:tblPrEx>
        <w:trPr>
          <w:trHeight w:val="300" w:hRule="atLeast"/>
          <w:jc w:val="center"/>
        </w:trPr>
        <w:tc>
          <w:tcPr>
            <w:tcW w:w="4396" w:type="dxa"/>
            <w:vMerge w:val="restart"/>
            <w:tcBorders>
              <w:top w:val="single" w:color="00B050" w:sz="8" w:space="0"/>
              <w:left w:val="single" w:color="00B050" w:sz="8" w:space="0"/>
              <w:right w:val="dotted" w:color="00B050" w:sz="8" w:space="0"/>
            </w:tcBorders>
            <w:shd w:val="clear" w:color="auto" w:fill="auto"/>
            <w:vAlign w:val="center"/>
          </w:tcPr>
          <w:p>
            <w:pPr>
              <w:jc w:val="center"/>
              <w:rPr>
                <w:color w:val="000000"/>
                <w:kern w:val="0"/>
                <w:szCs w:val="21"/>
              </w:rPr>
            </w:pPr>
          </w:p>
        </w:tc>
        <w:tc>
          <w:tcPr>
            <w:tcW w:w="1056" w:type="dxa"/>
            <w:vMerge w:val="restart"/>
            <w:tcBorders>
              <w:top w:val="single" w:color="00B050" w:sz="8" w:space="0"/>
              <w:left w:val="dotted" w:color="00B050" w:sz="8" w:space="0"/>
              <w:right w:val="dotted" w:color="00B050" w:sz="8" w:space="0"/>
            </w:tcBorders>
            <w:shd w:val="clear" w:color="auto" w:fill="auto"/>
            <w:vAlign w:val="center"/>
          </w:tcPr>
          <w:p>
            <w:pPr>
              <w:jc w:val="center"/>
              <w:rPr>
                <w:color w:val="000000"/>
                <w:kern w:val="0"/>
                <w:szCs w:val="21"/>
              </w:rPr>
            </w:pPr>
            <w:r>
              <w:rPr>
                <w:color w:val="000000"/>
                <w:kern w:val="0"/>
                <w:szCs w:val="21"/>
              </w:rPr>
              <w:t>均值排序</w:t>
            </w:r>
          </w:p>
        </w:tc>
        <w:tc>
          <w:tcPr>
            <w:tcW w:w="352" w:type="dxa"/>
            <w:vMerge w:val="restart"/>
            <w:tcBorders>
              <w:top w:val="single" w:color="00B050" w:sz="8" w:space="0"/>
              <w:left w:val="dotted" w:color="00B050" w:sz="8" w:space="0"/>
              <w:right w:val="dotted" w:color="00B050" w:sz="8" w:space="0"/>
            </w:tcBorders>
            <w:vAlign w:val="center"/>
          </w:tcPr>
          <w:p>
            <w:pPr>
              <w:jc w:val="center"/>
              <w:rPr>
                <w:color w:val="000000"/>
                <w:kern w:val="0"/>
                <w:szCs w:val="21"/>
              </w:rPr>
            </w:pPr>
            <w:r>
              <w:rPr>
                <w:rFonts w:hint="eastAsia"/>
                <w:color w:val="000000"/>
                <w:kern w:val="0"/>
                <w:szCs w:val="21"/>
              </w:rPr>
              <w:t>N</w:t>
            </w:r>
          </w:p>
        </w:tc>
        <w:tc>
          <w:tcPr>
            <w:tcW w:w="636" w:type="dxa"/>
            <w:vMerge w:val="restart"/>
            <w:tcBorders>
              <w:top w:val="single" w:color="00B050" w:sz="8" w:space="0"/>
              <w:left w:val="dotted" w:color="00B050" w:sz="8" w:space="0"/>
              <w:right w:val="dotted" w:color="00B050" w:sz="8" w:space="0"/>
            </w:tcBorders>
            <w:shd w:val="clear" w:color="auto" w:fill="auto"/>
            <w:vAlign w:val="center"/>
          </w:tcPr>
          <w:p>
            <w:pPr>
              <w:jc w:val="center"/>
              <w:rPr>
                <w:color w:val="000000"/>
                <w:kern w:val="0"/>
                <w:szCs w:val="21"/>
              </w:rPr>
            </w:pPr>
            <w:r>
              <w:rPr>
                <w:color w:val="000000"/>
                <w:kern w:val="0"/>
                <w:szCs w:val="21"/>
              </w:rPr>
              <w:t>均值</w:t>
            </w:r>
          </w:p>
        </w:tc>
        <w:tc>
          <w:tcPr>
            <w:tcW w:w="846" w:type="dxa"/>
            <w:vMerge w:val="restart"/>
            <w:tcBorders>
              <w:top w:val="single" w:color="00B050" w:sz="8" w:space="0"/>
              <w:left w:val="dotted" w:color="00B050" w:sz="8" w:space="0"/>
              <w:right w:val="dotted" w:color="00B050" w:sz="8" w:space="0"/>
            </w:tcBorders>
            <w:shd w:val="clear" w:color="auto" w:fill="auto"/>
            <w:vAlign w:val="center"/>
          </w:tcPr>
          <w:p>
            <w:pPr>
              <w:jc w:val="center"/>
              <w:rPr>
                <w:color w:val="000000"/>
                <w:kern w:val="0"/>
                <w:szCs w:val="21"/>
              </w:rPr>
            </w:pPr>
            <w:r>
              <w:rPr>
                <w:color w:val="000000"/>
                <w:kern w:val="0"/>
                <w:szCs w:val="21"/>
              </w:rPr>
              <w:t>标准差</w:t>
            </w:r>
          </w:p>
        </w:tc>
        <w:tc>
          <w:tcPr>
            <w:tcW w:w="2200" w:type="dxa"/>
            <w:gridSpan w:val="3"/>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color w:val="000000"/>
                <w:kern w:val="0"/>
                <w:szCs w:val="21"/>
              </w:rPr>
              <w:t>有效%</w:t>
            </w:r>
          </w:p>
        </w:tc>
      </w:tr>
      <w:tr>
        <w:tblPrEx>
          <w:tblLayout w:type="fixed"/>
          <w:tblCellMar>
            <w:top w:w="0" w:type="dxa"/>
            <w:left w:w="108" w:type="dxa"/>
            <w:bottom w:w="0" w:type="dxa"/>
            <w:right w:w="108" w:type="dxa"/>
          </w:tblCellMar>
        </w:tblPrEx>
        <w:trPr>
          <w:trHeight w:val="300" w:hRule="atLeast"/>
          <w:jc w:val="center"/>
        </w:trPr>
        <w:tc>
          <w:tcPr>
            <w:tcW w:w="4396" w:type="dxa"/>
            <w:vMerge w:val="continue"/>
            <w:tcBorders>
              <w:left w:val="single" w:color="00B050" w:sz="8" w:space="0"/>
              <w:bottom w:val="single" w:color="00B050" w:sz="8" w:space="0"/>
              <w:right w:val="dotted" w:color="00B050" w:sz="8" w:space="0"/>
            </w:tcBorders>
            <w:shd w:val="clear" w:color="auto" w:fill="auto"/>
            <w:vAlign w:val="center"/>
          </w:tcPr>
          <w:p>
            <w:pPr>
              <w:widowControl/>
              <w:rPr>
                <w:color w:val="000000"/>
                <w:kern w:val="0"/>
                <w:szCs w:val="21"/>
              </w:rPr>
            </w:pPr>
          </w:p>
        </w:tc>
        <w:tc>
          <w:tcPr>
            <w:tcW w:w="1056" w:type="dxa"/>
            <w:vMerge w:val="continue"/>
            <w:tcBorders>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352" w:type="dxa"/>
            <w:vMerge w:val="continue"/>
            <w:tcBorders>
              <w:left w:val="dotted" w:color="00B050" w:sz="8" w:space="0"/>
              <w:bottom w:val="single" w:color="00B050" w:sz="8" w:space="0"/>
              <w:right w:val="dotted" w:color="00B050" w:sz="8" w:space="0"/>
            </w:tcBorders>
          </w:tcPr>
          <w:p>
            <w:pPr>
              <w:widowControl/>
              <w:jc w:val="center"/>
              <w:rPr>
                <w:color w:val="000000"/>
                <w:kern w:val="0"/>
                <w:szCs w:val="21"/>
              </w:rPr>
            </w:pPr>
          </w:p>
        </w:tc>
        <w:tc>
          <w:tcPr>
            <w:tcW w:w="636" w:type="dxa"/>
            <w:vMerge w:val="continue"/>
            <w:tcBorders>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846" w:type="dxa"/>
            <w:vMerge w:val="continue"/>
            <w:tcBorders>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rFonts w:hint="eastAsia"/>
                <w:color w:val="000000"/>
                <w:kern w:val="0"/>
                <w:szCs w:val="21"/>
              </w:rPr>
              <w:t>满意</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widowControl/>
              <w:jc w:val="center"/>
              <w:rPr>
                <w:color w:val="000000"/>
                <w:kern w:val="0"/>
                <w:szCs w:val="21"/>
              </w:rPr>
            </w:pPr>
            <w:r>
              <w:rPr>
                <w:rFonts w:hint="eastAsia"/>
                <w:color w:val="000000"/>
                <w:kern w:val="0"/>
                <w:szCs w:val="21"/>
              </w:rPr>
              <w:t>一般</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widowControl/>
              <w:jc w:val="center"/>
              <w:rPr>
                <w:color w:val="000000"/>
                <w:kern w:val="0"/>
                <w:szCs w:val="21"/>
              </w:rPr>
            </w:pPr>
            <w:r>
              <w:rPr>
                <w:rFonts w:hint="eastAsia"/>
                <w:color w:val="000000"/>
                <w:kern w:val="0"/>
                <w:szCs w:val="21"/>
              </w:rPr>
              <w:t>不满意</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了解用人单位的个性化需求并提供相应服务</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就业派遣手续的办理</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2</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组织实习实践活动</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3</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学校对毕业生的推荐工作</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校园招聘会的组织</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5</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招聘信息的发布</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6</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4.25</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1.95</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100.0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0.0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人才培养合作</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7</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1.92</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75.0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25.0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配合用人单位开展人力资源调查</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8</w:t>
            </w: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4.00</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1.92</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75.0</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25.0</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r>
        <w:tblPrEx>
          <w:tblLayout w:type="fixed"/>
          <w:tblCellMar>
            <w:top w:w="0" w:type="dxa"/>
            <w:left w:w="108" w:type="dxa"/>
            <w:bottom w:w="0" w:type="dxa"/>
            <w:right w:w="108" w:type="dxa"/>
          </w:tblCellMar>
        </w:tblPrEx>
        <w:trPr>
          <w:trHeight w:val="270" w:hRule="atLeast"/>
          <w:jc w:val="center"/>
        </w:trPr>
        <w:tc>
          <w:tcPr>
            <w:tcW w:w="4396" w:type="dxa"/>
            <w:tcBorders>
              <w:top w:val="single" w:color="00B050" w:sz="8" w:space="0"/>
              <w:left w:val="single" w:color="00B050" w:sz="8" w:space="0"/>
              <w:bottom w:val="single" w:color="00B050" w:sz="8" w:space="0"/>
              <w:right w:val="dotted" w:color="00B050" w:sz="8" w:space="0"/>
            </w:tcBorders>
            <w:shd w:val="clear" w:color="auto" w:fill="auto"/>
            <w:vAlign w:val="center"/>
          </w:tcPr>
          <w:p>
            <w:pPr>
              <w:rPr>
                <w:color w:val="000000"/>
                <w:sz w:val="22"/>
              </w:rPr>
            </w:pPr>
            <w:r>
              <w:rPr>
                <w:rFonts w:hint="eastAsia"/>
                <w:color w:val="000000"/>
                <w:sz w:val="22"/>
              </w:rPr>
              <w:t>总体满意度</w:t>
            </w:r>
          </w:p>
        </w:tc>
        <w:tc>
          <w:tcPr>
            <w:tcW w:w="105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p>
        </w:tc>
        <w:tc>
          <w:tcPr>
            <w:tcW w:w="352" w:type="dxa"/>
            <w:tcBorders>
              <w:top w:val="single" w:color="00B050" w:sz="8" w:space="0"/>
              <w:left w:val="dotted" w:color="00B050" w:sz="8" w:space="0"/>
              <w:bottom w:val="single" w:color="00B050" w:sz="8" w:space="0"/>
              <w:right w:val="dotted" w:color="00B050" w:sz="8" w:space="0"/>
            </w:tcBorders>
          </w:tcPr>
          <w:p>
            <w:pPr>
              <w:jc w:val="center"/>
              <w:rPr>
                <w:color w:val="000000"/>
                <w:sz w:val="22"/>
              </w:rPr>
            </w:pPr>
            <w:r>
              <w:rPr>
                <w:color w:val="000000"/>
                <w:sz w:val="22"/>
              </w:rPr>
              <w:t>4</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4.19</w:t>
            </w:r>
          </w:p>
        </w:tc>
        <w:tc>
          <w:tcPr>
            <w:tcW w:w="84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1.76</w:t>
            </w:r>
          </w:p>
        </w:tc>
        <w:tc>
          <w:tcPr>
            <w:tcW w:w="718"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93.8</w:t>
            </w:r>
          </w:p>
        </w:tc>
        <w:tc>
          <w:tcPr>
            <w:tcW w:w="636" w:type="dxa"/>
            <w:tcBorders>
              <w:top w:val="single" w:color="00B050" w:sz="8" w:space="0"/>
              <w:left w:val="dotted" w:color="00B050" w:sz="8" w:space="0"/>
              <w:bottom w:val="single" w:color="00B050" w:sz="8" w:space="0"/>
              <w:right w:val="dotted" w:color="00B050" w:sz="8" w:space="0"/>
            </w:tcBorders>
            <w:shd w:val="clear" w:color="auto" w:fill="auto"/>
            <w:vAlign w:val="center"/>
          </w:tcPr>
          <w:p>
            <w:pPr>
              <w:jc w:val="center"/>
              <w:rPr>
                <w:color w:val="000000"/>
                <w:sz w:val="22"/>
              </w:rPr>
            </w:pPr>
            <w:r>
              <w:rPr>
                <w:color w:val="000000"/>
                <w:sz w:val="22"/>
              </w:rPr>
              <w:t>6.3</w:t>
            </w:r>
          </w:p>
        </w:tc>
        <w:tc>
          <w:tcPr>
            <w:tcW w:w="846" w:type="dxa"/>
            <w:tcBorders>
              <w:top w:val="single" w:color="00B050" w:sz="8" w:space="0"/>
              <w:left w:val="dotted" w:color="00B050" w:sz="8" w:space="0"/>
              <w:bottom w:val="single" w:color="00B050" w:sz="8" w:space="0"/>
              <w:right w:val="single" w:color="00B050" w:sz="8" w:space="0"/>
            </w:tcBorders>
            <w:shd w:val="clear" w:color="auto" w:fill="auto"/>
            <w:vAlign w:val="center"/>
          </w:tcPr>
          <w:p>
            <w:pPr>
              <w:jc w:val="center"/>
              <w:rPr>
                <w:color w:val="000000"/>
                <w:sz w:val="22"/>
              </w:rPr>
            </w:pPr>
            <w:r>
              <w:rPr>
                <w:color w:val="000000"/>
                <w:sz w:val="22"/>
              </w:rPr>
              <w:t>0.0</w:t>
            </w:r>
          </w:p>
        </w:tc>
      </w:tr>
    </w:tbl>
    <w:p>
      <w:pPr>
        <w:pStyle w:val="37"/>
        <w:spacing w:before="624" w:after="936"/>
        <w:ind w:firstLine="0" w:firstLineChars="0"/>
      </w:pPr>
    </w:p>
    <w:p>
      <w:pPr>
        <w:pStyle w:val="43"/>
        <w:spacing w:before="312" w:after="156"/>
        <w:rPr>
          <w:rFonts w:hint="eastAsia"/>
        </w:rPr>
      </w:pPr>
      <w:bookmarkStart w:id="279" w:name="_Toc470167460"/>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0"/>
        <w:spacing w:before="624" w:after="936"/>
      </w:pPr>
      <w:r>
        <w:pict>
          <v:rect id="_x0000_s1029" o:spid="_x0000_s1029" o:spt="1" style="position:absolute;left:0pt;margin-left:0.7pt;margin-top:68.2pt;height:6pt;width:694.35pt;z-index:251678720;mso-width-relative:page;mso-height-relative:page;" fillcolor="#E36C0A" filled="t" stroked="f" coordsize="21600,21600">
            <v:path/>
            <v:fill type="gradient" on="t" color2="#E7822F" opacity="0f" angle="90" focus="100%" focussize="0f,0f" focusposition="0f,0f" rotate="t"/>
            <v:stroke on="f"/>
            <v:imagedata o:title=""/>
            <o:lock v:ext="edit" aspectratio="f"/>
          </v:rect>
        </w:pict>
      </w:r>
      <w:r>
        <w:rPr>
          <w:rFonts w:hint="eastAsia"/>
        </w:rPr>
        <w:t>第</w:t>
      </w:r>
      <w:r>
        <w:rPr>
          <w:rFonts w:hint="eastAsia"/>
          <w:lang w:eastAsia="zh-CN"/>
        </w:rPr>
        <w:t>五</w:t>
      </w:r>
      <w:r>
        <w:rPr>
          <w:rFonts w:hint="eastAsia"/>
        </w:rPr>
        <w:t>章　</w:t>
      </w:r>
      <w:r>
        <w:rPr>
          <w:rFonts w:hint="eastAsia"/>
          <w:lang w:eastAsia="zh-CN"/>
        </w:rPr>
        <w:t>就业创业指导与服务</w:t>
      </w:r>
    </w:p>
    <w:p>
      <w:pPr>
        <w:spacing w:line="500" w:lineRule="exact"/>
        <w:ind w:firstLine="560" w:firstLineChars="200"/>
        <w:rPr>
          <w:rFonts w:hint="eastAsia" w:asciiTheme="majorEastAsia" w:hAnsiTheme="majorEastAsia" w:eastAsiaTheme="majorEastAsia" w:cstheme="majorEastAsia"/>
          <w:sz w:val="24"/>
          <w:szCs w:val="24"/>
        </w:rPr>
      </w:pPr>
    </w:p>
    <w:p>
      <w:pPr>
        <w:spacing w:line="500" w:lineRule="exact"/>
        <w:ind w:firstLine="56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就业指导中心采取多种有效措施推动毕业生就业，努力实现毕业生充分就业，高质量就业。主要做法如下：</w:t>
      </w:r>
    </w:p>
    <w:p>
      <w:pPr>
        <w:numPr>
          <w:ilvl w:val="0"/>
          <w:numId w:val="5"/>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提升就业工作人员能力水平</w:t>
      </w:r>
    </w:p>
    <w:p>
      <w:pPr>
        <w:numPr>
          <w:ilvl w:val="0"/>
          <w:numId w:val="0"/>
        </w:numPr>
        <w:spacing w:line="500" w:lineRule="exact"/>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201</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年，依托北京市教委“就业指导和职业生涯规划课程”项目</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KAB</w:t>
      </w:r>
      <w:r>
        <w:rPr>
          <w:rFonts w:hint="eastAsia" w:asciiTheme="majorEastAsia" w:hAnsiTheme="majorEastAsia" w:eastAsiaTheme="majorEastAsia" w:cstheme="majorEastAsia"/>
          <w:sz w:val="24"/>
          <w:szCs w:val="24"/>
          <w:lang w:eastAsia="zh-CN"/>
        </w:rPr>
        <w:t>”创业讲师培训班，“痕迹识人”培训班等活动</w:t>
      </w:r>
      <w:r>
        <w:rPr>
          <w:rFonts w:hint="eastAsia" w:asciiTheme="majorEastAsia" w:hAnsiTheme="majorEastAsia" w:eastAsiaTheme="majorEastAsia" w:cstheme="majorEastAsia"/>
          <w:sz w:val="24"/>
          <w:szCs w:val="24"/>
        </w:rPr>
        <w:t>，安排就业工作人员参加</w:t>
      </w:r>
      <w:r>
        <w:rPr>
          <w:rFonts w:hint="eastAsia" w:asciiTheme="majorEastAsia" w:hAnsiTheme="majorEastAsia" w:eastAsiaTheme="majorEastAsia" w:cstheme="majorEastAsia"/>
          <w:sz w:val="24"/>
          <w:szCs w:val="24"/>
          <w:lang w:eastAsia="zh-CN"/>
        </w:rPr>
        <w:t>就业创业专题</w:t>
      </w:r>
      <w:r>
        <w:rPr>
          <w:rFonts w:hint="eastAsia" w:asciiTheme="majorEastAsia" w:hAnsiTheme="majorEastAsia" w:eastAsiaTheme="majorEastAsia" w:cstheme="majorEastAsia"/>
          <w:sz w:val="24"/>
          <w:szCs w:val="24"/>
        </w:rPr>
        <w:t>培训，从理论提高到技能提升，增强就业指导和服务的本领。</w:t>
      </w:r>
    </w:p>
    <w:p>
      <w:pPr>
        <w:numPr>
          <w:ilvl w:val="0"/>
          <w:numId w:val="0"/>
        </w:numPr>
        <w:spacing w:line="500" w:lineRule="exact"/>
        <w:ind w:firstLine="48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二、加强了就业创业指导的力度</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实现了就业指导课程重心由大学四年级前移至大学三年级，让学生提前进入就业准备期。开设毕业研究生就业指导专题。鼓励学生积极参加社会实习和实践，增强学生求职的竞争力。</w:t>
      </w:r>
      <w:r>
        <w:rPr>
          <w:rFonts w:hint="eastAsia" w:asciiTheme="majorEastAsia" w:hAnsiTheme="majorEastAsia" w:eastAsiaTheme="majorEastAsia" w:cstheme="majorEastAsia"/>
          <w:sz w:val="24"/>
          <w:szCs w:val="24"/>
          <w:lang w:eastAsia="zh-CN"/>
        </w:rPr>
        <w:t>修改《中央戏剧学院优秀毕业生评选办法》，将学生创新创业成果纳入评选范围。积极利用社会捐款设立“盛世优星”创新创业奖，引导学生善于创新，勇于创业。</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努力构建“指导+服务+平台”的工作模式</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与东城区人才服务中心、东城区中小企业服务中心、嘉润创业孵化园联合建立“教育+培训+孵化”的创新创业工作体系，引导大学生在“大众创新，万众创业”的时代潮流中勇当弄潮儿。</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家学生创业公司陆续注册成立，</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家公司荣获北京市大学生创业优秀团队，1家公司</w:t>
      </w:r>
      <w:r>
        <w:rPr>
          <w:rFonts w:hint="eastAsia" w:asciiTheme="majorEastAsia" w:hAnsiTheme="majorEastAsia" w:eastAsiaTheme="majorEastAsia" w:cstheme="majorEastAsia"/>
          <w:sz w:val="24"/>
          <w:szCs w:val="24"/>
          <w:lang w:eastAsia="zh-CN"/>
        </w:rPr>
        <w:t>荣获人力资源和社会保障部举办的“中国创翼”创新创业大赛银奖，北京赛区一等奖</w:t>
      </w:r>
      <w:r>
        <w:rPr>
          <w:rFonts w:hint="eastAsia" w:asciiTheme="majorEastAsia" w:hAnsiTheme="majorEastAsia" w:eastAsiaTheme="majorEastAsia" w:cstheme="majorEastAsia"/>
          <w:sz w:val="24"/>
          <w:szCs w:val="24"/>
        </w:rPr>
        <w:t>。</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升级就业指导中心微信平台</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开设“招聘汇”“公告栏”“创业板”“知识窗”“E言堂”“求职路”“双选会”“微新闻”等20个栏目，坚持每天发布招聘信息，解读就业政策、在线解疑答惑，传递就业资讯。全年推送信息超</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00条，提供岗位</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000余个，岗位供给比达10:1。</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建立就业创业工作信息反馈制度</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根据教育部毕业生就业质量报告的各项考核指标，结合学院实际，定期编写《就业工作简报》，向就业指导委员会汇报就业进展情况，向班主任、辅导员反馈就业工作信息。每学期召开一次就业指导委员会会议，汇报工作。</w:t>
      </w:r>
      <w:r>
        <w:rPr>
          <w:rFonts w:hint="eastAsia" w:asciiTheme="majorEastAsia" w:hAnsiTheme="majorEastAsia" w:eastAsiaTheme="majorEastAsia" w:cstheme="majorEastAsia"/>
          <w:sz w:val="24"/>
          <w:szCs w:val="24"/>
          <w:lang w:eastAsia="zh-CN"/>
        </w:rPr>
        <w:t>连续四年发布《毕业生就业质量年度报告》，为学院教育教学综合改革提供参考依据。</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积极开拓就业市场</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首先，与多年的用人单位加强联络，召开单位座谈会，了解单位需求。其次，开发新的岗位资源，邀请大型集团文化机构前来校园召开宣讲会和招聘会。</w:t>
      </w:r>
      <w:r>
        <w:rPr>
          <w:rFonts w:hint="eastAsia" w:asciiTheme="majorEastAsia" w:hAnsiTheme="majorEastAsia" w:eastAsiaTheme="majorEastAsia" w:cstheme="majorEastAsia"/>
          <w:sz w:val="24"/>
          <w:szCs w:val="24"/>
          <w:lang w:eastAsia="zh-CN"/>
        </w:rPr>
        <w:t>再次</w:t>
      </w:r>
      <w:r>
        <w:rPr>
          <w:rFonts w:hint="eastAsia" w:asciiTheme="majorEastAsia" w:hAnsiTheme="majorEastAsia" w:eastAsiaTheme="majorEastAsia" w:cstheme="majorEastAsia"/>
          <w:sz w:val="24"/>
          <w:szCs w:val="24"/>
        </w:rPr>
        <w:t>，邀请职场专家举办讲座，召开用人单位座谈会，通过多种方式密切与用人单位的联系。</w:t>
      </w:r>
      <w:r>
        <w:rPr>
          <w:rFonts w:hint="eastAsia" w:asciiTheme="majorEastAsia" w:hAnsiTheme="majorEastAsia" w:eastAsiaTheme="majorEastAsia" w:cstheme="majorEastAsia"/>
          <w:sz w:val="24"/>
          <w:szCs w:val="24"/>
          <w:lang w:eastAsia="zh-CN"/>
        </w:rPr>
        <w:t>最后，鼓励校友创业吸纳更多的毕业生，以创业带动就业。</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举办多场多种形式的校园招聘会</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为供需双方牵手搭台。</w:t>
      </w:r>
      <w:r>
        <w:rPr>
          <w:rFonts w:hint="eastAsia" w:asciiTheme="majorEastAsia" w:hAnsiTheme="majorEastAsia" w:eastAsiaTheme="majorEastAsia" w:cstheme="majorEastAsia"/>
          <w:sz w:val="24"/>
          <w:szCs w:val="24"/>
          <w:lang w:val="en-US" w:eastAsia="zh-CN"/>
        </w:rPr>
        <w:t>2016</w:t>
      </w:r>
      <w:r>
        <w:rPr>
          <w:rFonts w:hint="eastAsia" w:asciiTheme="majorEastAsia" w:hAnsiTheme="majorEastAsia" w:eastAsiaTheme="majorEastAsia" w:cstheme="majorEastAsia"/>
          <w:sz w:val="24"/>
          <w:szCs w:val="24"/>
        </w:rPr>
        <w:t>年3月，举办了校园大型招聘会，参会单位</w:t>
      </w:r>
      <w:r>
        <w:rPr>
          <w:rFonts w:hint="eastAsia" w:asciiTheme="majorEastAsia" w:hAnsiTheme="majorEastAsia" w:eastAsiaTheme="majorEastAsia" w:cstheme="majorEastAsia"/>
          <w:sz w:val="24"/>
          <w:szCs w:val="24"/>
          <w:lang w:val="en-US" w:eastAsia="zh-CN"/>
        </w:rPr>
        <w:t>98</w:t>
      </w:r>
      <w:r>
        <w:rPr>
          <w:rFonts w:hint="eastAsia" w:asciiTheme="majorEastAsia" w:hAnsiTheme="majorEastAsia" w:eastAsiaTheme="majorEastAsia" w:cstheme="majorEastAsia"/>
          <w:sz w:val="24"/>
          <w:szCs w:val="24"/>
        </w:rPr>
        <w:t>家。应用人单位请求，在校内举办专场招聘会1</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场。</w:t>
      </w:r>
    </w:p>
    <w:p>
      <w:pPr>
        <w:numPr>
          <w:ilvl w:val="0"/>
          <w:numId w:val="6"/>
        </w:numPr>
        <w:spacing w:line="500" w:lineRule="exact"/>
        <w:ind w:firstLine="560" w:firstLineChars="200"/>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动员多方力量，合力做好毕业生就业工作</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邮寄《致毕业生家长的一封信》，召开在京毕业生家长座谈会，邀请历届村官回校与毕业生面对面座谈，邀请知名校友回校分享创业故事等。</w:t>
      </w: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26"/>
        <w:keepNext w:val="0"/>
        <w:keepLines w:val="0"/>
        <w:widowControl w:val="0"/>
        <w:suppressLineNumbers w:val="0"/>
        <w:spacing w:before="624" w:beforeLines="200" w:beforeAutospacing="0" w:after="936" w:afterLines="300" w:afterAutospacing="0"/>
        <w:ind w:left="0" w:right="0"/>
        <w:jc w:val="center"/>
        <w:outlineLvl w:val="0"/>
        <w:rPr>
          <w:rFonts w:hint="eastAsia" w:ascii="黑体" w:hAnsi="宋体" w:eastAsia="黑体" w:cs="黑体"/>
          <w:b/>
          <w:color w:val="E36C09"/>
          <w:kern w:val="2"/>
          <w:sz w:val="44"/>
          <w:szCs w:val="44"/>
          <w:lang w:val="en-US" w:eastAsia="zh-CN" w:bidi="ar"/>
        </w:rPr>
      </w:pPr>
      <w:r>
        <w:rPr>
          <w:rFonts w:hint="eastAsia" w:ascii="黑体" w:hAnsi="宋体" w:eastAsia="黑体" w:cs="黑体"/>
          <w:b/>
          <w:color w:val="E36C09"/>
          <w:kern w:val="2"/>
          <w:sz w:val="44"/>
          <w:szCs w:val="44"/>
          <w:lang w:val="en-US" w:eastAsia="zh-CN" w:bidi="ar"/>
        </w:rPr>
        <w:t>第</w:t>
      </w:r>
      <w:r>
        <w:rPr>
          <w:rFonts w:hint="eastAsia" w:ascii="黑体" w:eastAsia="黑体" w:cs="黑体"/>
          <w:b/>
          <w:color w:val="E36C09"/>
          <w:kern w:val="2"/>
          <w:sz w:val="44"/>
          <w:szCs w:val="44"/>
          <w:lang w:val="en-US" w:eastAsia="zh-CN" w:bidi="ar"/>
        </w:rPr>
        <w:t>六</w:t>
      </w:r>
      <w:r>
        <w:rPr>
          <w:rFonts w:hint="eastAsia" w:ascii="黑体" w:hAnsi="宋体" w:eastAsia="黑体" w:cs="黑体"/>
          <w:b/>
          <w:color w:val="E36C09"/>
          <w:kern w:val="2"/>
          <w:sz w:val="44"/>
          <w:szCs w:val="44"/>
          <w:lang w:val="en-US" w:eastAsia="zh-CN" w:bidi="ar"/>
        </w:rPr>
        <w:t>章 就业</w:t>
      </w:r>
      <w:r>
        <w:rPr>
          <w:rFonts w:hint="eastAsia" w:ascii="黑体" w:eastAsia="黑体" w:cs="黑体"/>
          <w:b/>
          <w:color w:val="E36C09"/>
          <w:kern w:val="2"/>
          <w:sz w:val="44"/>
          <w:szCs w:val="44"/>
          <w:lang w:val="en-US" w:eastAsia="zh-CN" w:bidi="ar"/>
        </w:rPr>
        <w:t>形势研判</w:t>
      </w:r>
    </w:p>
    <w:p>
      <w:pPr>
        <w:pStyle w:val="26"/>
        <w:keepNext w:val="0"/>
        <w:keepLines w:val="0"/>
        <w:widowControl w:val="0"/>
        <w:suppressLineNumbers w:val="0"/>
        <w:spacing w:before="624" w:beforeLines="200" w:beforeAutospacing="0" w:after="936" w:afterLines="300" w:afterAutospacing="0"/>
        <w:ind w:left="0" w:right="0"/>
        <w:jc w:val="center"/>
        <w:outlineLvl w:val="0"/>
        <w:rPr>
          <w:rFonts w:hint="eastAsia" w:ascii="黑体" w:hAnsi="宋体" w:eastAsia="黑体" w:cs="黑体"/>
          <w:b/>
          <w:color w:val="E36C09"/>
          <w:kern w:val="2"/>
          <w:sz w:val="44"/>
          <w:szCs w:val="44"/>
          <w:lang w:val="en-US" w:eastAsia="zh-CN" w:bidi="ar"/>
        </w:rPr>
      </w:pPr>
      <w:r>
        <w:rPr>
          <w:rFonts w:hint="eastAsia" w:ascii="黑体" w:hAnsi="宋体" w:eastAsia="黑体" w:cs="黑体"/>
          <w:b/>
          <w:color w:val="E36C09"/>
          <w:kern w:val="2"/>
          <w:sz w:val="44"/>
          <w:szCs w:val="44"/>
          <w:lang w:val="en-US" w:eastAsia="zh-CN" w:bidi="ar"/>
        </w:rPr>
        <w:fldChar w:fldCharType="begin"/>
      </w:r>
      <w:r>
        <w:rPr>
          <w:rFonts w:hint="eastAsia" w:ascii="黑体" w:hAnsi="宋体" w:eastAsia="黑体" w:cs="黑体"/>
          <w:b/>
          <w:color w:val="E36C09"/>
          <w:kern w:val="2"/>
          <w:sz w:val="44"/>
          <w:szCs w:val="44"/>
          <w:lang w:val="en-US" w:eastAsia="zh-CN" w:bidi="ar"/>
        </w:rPr>
        <w:instrText xml:space="preserve">INCLUDEPICTURE \d "C:\\DOCUME~1\\ADMINI~1\\LOCALS~1\\Temp\\ksohtml\\wps297.tmp.png" \* MERGEFORMATINET </w:instrText>
      </w:r>
      <w:r>
        <w:rPr>
          <w:rFonts w:hint="eastAsia" w:ascii="黑体" w:hAnsi="宋体" w:eastAsia="黑体" w:cs="黑体"/>
          <w:b/>
          <w:color w:val="E36C09"/>
          <w:kern w:val="2"/>
          <w:sz w:val="44"/>
          <w:szCs w:val="44"/>
          <w:lang w:val="en-US" w:eastAsia="zh-CN" w:bidi="ar"/>
        </w:rPr>
        <w:fldChar w:fldCharType="separate"/>
      </w:r>
      <w:r>
        <w:rPr>
          <w:rFonts w:hint="eastAsia" w:ascii="黑体" w:hAnsi="宋体" w:eastAsia="黑体" w:cs="黑体"/>
          <w:b/>
          <w:color w:val="E36C09"/>
          <w:kern w:val="2"/>
          <w:sz w:val="44"/>
          <w:szCs w:val="44"/>
          <w:lang w:val="en-US" w:eastAsia="zh-CN" w:bidi="ar"/>
        </w:rPr>
        <w:drawing>
          <wp:inline distT="0" distB="0" distL="114300" distR="114300">
            <wp:extent cx="8629015" cy="80645"/>
            <wp:effectExtent l="0" t="0" r="635" b="14605"/>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176"/>
                    <a:stretch>
                      <a:fillRect/>
                    </a:stretch>
                  </pic:blipFill>
                  <pic:spPr>
                    <a:xfrm>
                      <a:off x="0" y="0"/>
                      <a:ext cx="8629015" cy="80645"/>
                    </a:xfrm>
                    <a:prstGeom prst="rect">
                      <a:avLst/>
                    </a:prstGeom>
                    <a:noFill/>
                    <a:ln w="9525">
                      <a:noFill/>
                    </a:ln>
                  </pic:spPr>
                </pic:pic>
              </a:graphicData>
            </a:graphic>
          </wp:inline>
        </w:drawing>
      </w:r>
      <w:r>
        <w:rPr>
          <w:rFonts w:hint="eastAsia" w:ascii="黑体" w:hAnsi="宋体" w:eastAsia="黑体" w:cs="黑体"/>
          <w:b/>
          <w:color w:val="E36C09"/>
          <w:kern w:val="2"/>
          <w:sz w:val="44"/>
          <w:szCs w:val="44"/>
          <w:lang w:val="en-US" w:eastAsia="zh-CN" w:bidi="ar"/>
        </w:rPr>
        <w:fldChar w:fldCharType="end"/>
      </w:r>
    </w:p>
    <w:p>
      <w:pPr>
        <w:spacing w:line="500" w:lineRule="exact"/>
        <w:ind w:firstLine="56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根据当前国内经济环境和就业市场情况，对201</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届毕业生就业形势判断如下：</w:t>
      </w:r>
    </w:p>
    <w:p>
      <w:pPr>
        <w:numPr>
          <w:ilvl w:val="0"/>
          <w:numId w:val="0"/>
        </w:numPr>
        <w:spacing w:line="500" w:lineRule="exact"/>
        <w:rPr>
          <w:rFonts w:hint="eastAsia" w:asciiTheme="majorEastAsia" w:hAnsiTheme="majorEastAsia" w:eastAsiaTheme="majorEastAsia" w:cstheme="majorEastAsia"/>
          <w:b/>
          <w:color w:val="E36C09" w:themeColor="accent6" w:themeShade="BF"/>
          <w:kern w:val="2"/>
          <w:sz w:val="24"/>
          <w:szCs w:val="24"/>
          <w:lang w:val="en-US" w:eastAsia="zh-CN" w:bidi="ar-SA"/>
        </w:rPr>
      </w:pPr>
      <w:r>
        <w:rPr>
          <w:rFonts w:hint="eastAsia" w:asciiTheme="majorEastAsia" w:hAnsiTheme="majorEastAsia" w:eastAsiaTheme="majorEastAsia" w:cstheme="majorEastAsia"/>
          <w:b/>
          <w:color w:val="E36C09" w:themeColor="accent6" w:themeShade="BF"/>
          <w:kern w:val="2"/>
          <w:sz w:val="24"/>
          <w:szCs w:val="24"/>
          <w:lang w:val="en-US" w:eastAsia="zh-CN" w:bidi="ar-SA"/>
        </w:rPr>
        <w:t xml:space="preserve">    一、就业形势更加严峻，毕业生就业更加困难</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2014年被称为史上最难就业季，2015年</w:t>
      </w:r>
      <w:r>
        <w:rPr>
          <w:rFonts w:hint="eastAsia" w:asciiTheme="majorEastAsia" w:hAnsiTheme="majorEastAsia" w:eastAsiaTheme="majorEastAsia" w:cstheme="majorEastAsia"/>
          <w:sz w:val="24"/>
          <w:szCs w:val="24"/>
          <w:lang w:val="en-US" w:eastAsia="zh-CN"/>
        </w:rPr>
        <w:t>,2016年更是难上加难。连续的就业难余波延续到2017年，对2017届毕业生就业形成了巨大的压力。2017年，高校毕业生首次突破</w:t>
      </w:r>
      <w:r>
        <w:rPr>
          <w:rFonts w:hint="eastAsia" w:asciiTheme="majorEastAsia" w:hAnsiTheme="majorEastAsia" w:eastAsiaTheme="majorEastAsia" w:cstheme="majorEastAsia"/>
          <w:sz w:val="24"/>
          <w:szCs w:val="24"/>
        </w:rPr>
        <w:t>700万</w:t>
      </w:r>
      <w:r>
        <w:rPr>
          <w:rFonts w:hint="eastAsia" w:asciiTheme="majorEastAsia" w:hAnsiTheme="majorEastAsia" w:eastAsiaTheme="majorEastAsia" w:cstheme="majorEastAsia"/>
          <w:sz w:val="24"/>
          <w:szCs w:val="24"/>
          <w:lang w:eastAsia="zh-CN"/>
        </w:rPr>
        <w:t>人，</w:t>
      </w:r>
      <w:r>
        <w:rPr>
          <w:rFonts w:hint="eastAsia" w:asciiTheme="majorEastAsia" w:hAnsiTheme="majorEastAsia" w:eastAsiaTheme="majorEastAsia" w:cstheme="majorEastAsia"/>
          <w:sz w:val="24"/>
          <w:szCs w:val="24"/>
        </w:rPr>
        <w:t>加上出国留学回来及没有找到工作的往届毕业生，将有</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1000+</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万大学生同时竞争。就业形势严峻，竞争更是激烈异常。这不仅关系到毕业生本身的生活和发展，也牵动着</w:t>
      </w:r>
      <w:r>
        <w:rPr>
          <w:rFonts w:hint="eastAsia" w:asciiTheme="majorEastAsia" w:hAnsiTheme="majorEastAsia" w:eastAsiaTheme="majorEastAsia" w:cstheme="majorEastAsia"/>
          <w:sz w:val="24"/>
          <w:szCs w:val="24"/>
          <w:lang w:eastAsia="zh-CN"/>
        </w:rPr>
        <w:t>每个学生家庭</w:t>
      </w:r>
      <w:r>
        <w:rPr>
          <w:rFonts w:hint="eastAsia" w:asciiTheme="majorEastAsia" w:hAnsiTheme="majorEastAsia" w:eastAsiaTheme="majorEastAsia" w:cstheme="majorEastAsia"/>
          <w:sz w:val="24"/>
          <w:szCs w:val="24"/>
        </w:rPr>
        <w:t>整个社会的目光。</w:t>
      </w:r>
    </w:p>
    <w:p>
      <w:pPr>
        <w:numPr>
          <w:ilvl w:val="0"/>
          <w:numId w:val="7"/>
        </w:numPr>
        <w:spacing w:line="500" w:lineRule="exact"/>
        <w:ind w:firstLine="560" w:firstLineChars="200"/>
        <w:rPr>
          <w:rFonts w:hint="eastAsia" w:asciiTheme="majorEastAsia" w:hAnsiTheme="majorEastAsia" w:eastAsiaTheme="majorEastAsia" w:cstheme="majorEastAsia"/>
          <w:b/>
          <w:bCs w:val="0"/>
          <w:color w:val="E36C09" w:themeColor="accent6" w:themeShade="BF"/>
          <w:kern w:val="2"/>
          <w:sz w:val="24"/>
          <w:szCs w:val="24"/>
          <w:lang w:val="en-US" w:eastAsia="zh-CN" w:bidi="ar-SA"/>
        </w:rPr>
      </w:pPr>
      <w:r>
        <w:rPr>
          <w:rFonts w:hint="eastAsia" w:asciiTheme="majorEastAsia" w:hAnsiTheme="majorEastAsia" w:eastAsiaTheme="majorEastAsia" w:cstheme="majorEastAsia"/>
          <w:b/>
          <w:bCs w:val="0"/>
          <w:color w:val="E36C09" w:themeColor="accent6" w:themeShade="BF"/>
          <w:kern w:val="2"/>
          <w:sz w:val="24"/>
          <w:szCs w:val="24"/>
          <w:lang w:val="en-US" w:eastAsia="zh-CN" w:bidi="ar-SA"/>
        </w:rPr>
        <w:t>北京市城市功能定位调整，疏解中心区人口，对毕业生就业产生一定影响。</w:t>
      </w:r>
    </w:p>
    <w:p>
      <w:pPr>
        <w:numPr>
          <w:ilvl w:val="0"/>
          <w:numId w:val="0"/>
        </w:numPr>
        <w:spacing w:line="500" w:lineRule="exac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自2016年起，</w:t>
      </w:r>
      <w:r>
        <w:rPr>
          <w:rFonts w:hint="eastAsia" w:asciiTheme="majorEastAsia" w:hAnsiTheme="majorEastAsia" w:eastAsiaTheme="majorEastAsia" w:cstheme="majorEastAsia"/>
          <w:sz w:val="24"/>
          <w:szCs w:val="24"/>
        </w:rPr>
        <w:t>北京中心城区</w:t>
      </w:r>
      <w:r>
        <w:rPr>
          <w:rFonts w:hint="eastAsia" w:asciiTheme="majorEastAsia" w:hAnsiTheme="majorEastAsia" w:eastAsiaTheme="majorEastAsia" w:cstheme="majorEastAsia"/>
          <w:sz w:val="24"/>
          <w:szCs w:val="24"/>
          <w:lang w:eastAsia="zh-CN"/>
        </w:rPr>
        <w:t>逐年疏解常驻人口和流动人口，而文化艺术单位多集中于中心城区，对艺术院校毕业生求职落户形成了限制，</w:t>
      </w:r>
      <w:r>
        <w:rPr>
          <w:rFonts w:hint="eastAsia" w:asciiTheme="majorEastAsia" w:hAnsiTheme="majorEastAsia" w:eastAsiaTheme="majorEastAsia" w:cstheme="majorEastAsia"/>
          <w:sz w:val="24"/>
          <w:szCs w:val="24"/>
          <w:lang w:val="en-US" w:eastAsia="zh-CN"/>
        </w:rPr>
        <w:t>2016届本科毕业生签约中心区人数锐减。加上中心城区</w:t>
      </w:r>
      <w:r>
        <w:rPr>
          <w:rFonts w:hint="eastAsia" w:asciiTheme="majorEastAsia" w:hAnsiTheme="majorEastAsia" w:eastAsiaTheme="majorEastAsia" w:cstheme="majorEastAsia"/>
          <w:sz w:val="24"/>
          <w:szCs w:val="24"/>
          <w:lang w:eastAsia="zh-CN"/>
        </w:rPr>
        <w:t>自</w:t>
      </w:r>
      <w:r>
        <w:rPr>
          <w:rFonts w:hint="eastAsia" w:asciiTheme="majorEastAsia" w:hAnsiTheme="majorEastAsia" w:eastAsiaTheme="majorEastAsia" w:cstheme="majorEastAsia"/>
          <w:sz w:val="24"/>
          <w:szCs w:val="24"/>
        </w:rPr>
        <w:t>对文化艺术产业限制，</w:t>
      </w:r>
      <w:r>
        <w:rPr>
          <w:rFonts w:hint="eastAsia" w:asciiTheme="majorEastAsia" w:hAnsiTheme="majorEastAsia" w:eastAsiaTheme="majorEastAsia" w:cstheme="majorEastAsia"/>
          <w:sz w:val="24"/>
          <w:szCs w:val="24"/>
          <w:lang w:eastAsia="zh-CN"/>
        </w:rPr>
        <w:t>大幅</w:t>
      </w:r>
      <w:r>
        <w:rPr>
          <w:rFonts w:hint="eastAsia" w:asciiTheme="majorEastAsia" w:hAnsiTheme="majorEastAsia" w:eastAsiaTheme="majorEastAsia" w:cstheme="majorEastAsia"/>
          <w:sz w:val="24"/>
          <w:szCs w:val="24"/>
        </w:rPr>
        <w:t>减少了艺术类毕业生工作机会，对于想留京发展的学生产生不利的影响。</w:t>
      </w:r>
    </w:p>
    <w:p>
      <w:pPr>
        <w:numPr>
          <w:ilvl w:val="0"/>
          <w:numId w:val="7"/>
        </w:numPr>
        <w:spacing w:line="500" w:lineRule="exact"/>
        <w:ind w:firstLine="560" w:firstLineChars="200"/>
        <w:rPr>
          <w:rFonts w:hint="eastAsia" w:asciiTheme="majorEastAsia" w:hAnsiTheme="majorEastAsia" w:eastAsiaTheme="majorEastAsia" w:cstheme="majorEastAsia"/>
          <w:b/>
          <w:bCs w:val="0"/>
          <w:color w:val="E36C09" w:themeColor="accent6" w:themeShade="BF"/>
          <w:kern w:val="2"/>
          <w:sz w:val="24"/>
          <w:szCs w:val="24"/>
          <w:lang w:val="en-US" w:eastAsia="zh-CN" w:bidi="ar-SA"/>
        </w:rPr>
      </w:pPr>
      <w:r>
        <w:rPr>
          <w:rFonts w:hint="eastAsia" w:asciiTheme="majorEastAsia" w:hAnsiTheme="majorEastAsia" w:eastAsiaTheme="majorEastAsia" w:cstheme="majorEastAsia"/>
          <w:b/>
          <w:bCs w:val="0"/>
          <w:color w:val="E36C09" w:themeColor="accent6" w:themeShade="BF"/>
          <w:kern w:val="2"/>
          <w:sz w:val="24"/>
          <w:szCs w:val="24"/>
          <w:lang w:val="en-US" w:eastAsia="zh-CN" w:bidi="ar-SA"/>
        </w:rPr>
        <w:t>国家支持“双创”的政策为毕业生就业提供了新的就业机会。</w:t>
      </w:r>
    </w:p>
    <w:p>
      <w:pPr>
        <w:numPr>
          <w:ilvl w:val="0"/>
          <w:numId w:val="0"/>
        </w:numPr>
        <w:spacing w:line="500" w:lineRule="exact"/>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在国家优惠政策的扶持下，学院创新创业教育的推动下，必将引领一部分毕业生自主创业，带动一批学生就业。</w:t>
      </w:r>
    </w:p>
    <w:p>
      <w:pPr>
        <w:numPr>
          <w:ilvl w:val="0"/>
          <w:numId w:val="0"/>
        </w:numPr>
        <w:spacing w:line="500" w:lineRule="exact"/>
        <w:ind w:firstLine="480"/>
        <w:rPr>
          <w:rFonts w:hint="eastAsia" w:asciiTheme="majorEastAsia" w:hAnsiTheme="majorEastAsia" w:eastAsiaTheme="majorEastAsia" w:cstheme="majorEastAsia"/>
          <w:sz w:val="24"/>
          <w:szCs w:val="24"/>
        </w:rPr>
      </w:pPr>
    </w:p>
    <w:p>
      <w:pPr>
        <w:pStyle w:val="40"/>
        <w:spacing w:before="624" w:after="936"/>
        <w:rPr>
          <w:rFonts w:hint="eastAsia"/>
          <w:lang w:eastAsia="zh-CN"/>
        </w:rPr>
      </w:pPr>
      <w:r>
        <w:pict>
          <v:rect id="_x0000_s1026" o:spid="_x0000_s1026" o:spt="1" style="position:absolute;left:0pt;margin-left:9.25pt;margin-top:64.85pt;height:6pt;width:692.35pt;z-index:251671552;mso-width-relative:page;mso-height-relative:page;" fillcolor="#E36C0A" filled="t" stroked="f" coordsize="21600,21600">
            <v:path/>
            <v:fill type="gradient" on="t" color2="#E7822F" opacity="0f" angle="90" focus="100%" focussize="0f,0f" focusposition="0f,0f" rotate="t"/>
            <v:stroke on="f"/>
            <v:imagedata o:title=""/>
            <o:lock v:ext="edit" aspectratio="f"/>
          </v:rect>
        </w:pict>
      </w:r>
      <w:r>
        <w:rPr>
          <w:rFonts w:hint="eastAsia"/>
        </w:rPr>
        <w:t>第</w:t>
      </w:r>
      <w:r>
        <w:rPr>
          <w:rFonts w:hint="eastAsia"/>
          <w:lang w:eastAsia="zh-CN"/>
        </w:rPr>
        <w:t>七</w:t>
      </w:r>
      <w:r>
        <w:rPr>
          <w:rFonts w:hint="eastAsia"/>
        </w:rPr>
        <w:t>章　</w:t>
      </w:r>
      <w:r>
        <w:rPr>
          <w:rFonts w:hint="eastAsia"/>
          <w:lang w:eastAsia="zh-CN"/>
        </w:rPr>
        <w:t>对教育教学的反馈</w:t>
      </w:r>
    </w:p>
    <w:p>
      <w:pPr>
        <w:spacing w:line="500" w:lineRule="exact"/>
        <w:ind w:firstLine="570"/>
        <w:rPr>
          <w:rFonts w:hint="eastAsia" w:asciiTheme="majorEastAsia" w:hAnsiTheme="majorEastAsia" w:eastAsiaTheme="majorEastAsia" w:cstheme="majorEastAsia"/>
          <w:sz w:val="24"/>
          <w:szCs w:val="24"/>
        </w:rPr>
      </w:pPr>
    </w:p>
    <w:p>
      <w:pPr>
        <w:spacing w:line="500" w:lineRule="exact"/>
        <w:ind w:firstLine="57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人才培养质量是衡量高等学校办学水平的最重要标准。毕业生就业质量既是衡量高等学校人才培养质量的重要指标，同时也对高等学院未来的发展产生影响。近年来，学院牢牢把握高等教育深化改革、加快发展的重要战略机遇期，努力拓宽办学思路，加大教学质量与教学改革工程建设，加强学科建设和高层次教师队伍建设，推进管理体制机制创新，开展世界戏剧教育的多边交流与合作，不断提升学院的综合办学实力和整体办学质量，使中央戏剧学院全面进入特色鲜明、世界一流的艺术院校行列。一流的教学质量提升了我院毕业生的就业竞争力和职场实力，推动了我院毕业生就业率连续多年保持在高位。</w:t>
      </w:r>
    </w:p>
    <w:p>
      <w:pPr>
        <w:numPr>
          <w:ilvl w:val="0"/>
          <w:numId w:val="0"/>
        </w:numPr>
        <w:spacing w:line="500" w:lineRule="exact"/>
        <w:rPr>
          <w:rFonts w:hint="eastAsia" w:asciiTheme="majorEastAsia" w:hAnsiTheme="majorEastAsia" w:eastAsiaTheme="majorEastAsia" w:cstheme="majorEastAsia"/>
          <w:b/>
          <w:bCs w:val="0"/>
          <w:color w:val="E36C09" w:themeColor="accent6" w:themeShade="BF"/>
          <w:kern w:val="2"/>
          <w:sz w:val="24"/>
          <w:szCs w:val="24"/>
          <w:lang w:val="en-US" w:eastAsia="zh-CN" w:bidi="ar-SA"/>
        </w:rPr>
      </w:pPr>
      <w:r>
        <w:rPr>
          <w:rFonts w:hint="eastAsia" w:asciiTheme="majorEastAsia" w:hAnsiTheme="majorEastAsia" w:eastAsiaTheme="majorEastAsia" w:cstheme="majorEastAsia"/>
          <w:b/>
          <w:bCs w:val="0"/>
          <w:color w:val="E36C09" w:themeColor="accent6" w:themeShade="BF"/>
          <w:kern w:val="2"/>
          <w:sz w:val="24"/>
          <w:szCs w:val="24"/>
          <w:lang w:val="en-US" w:eastAsia="zh-CN" w:bidi="ar-SA"/>
        </w:rPr>
        <w:t xml:space="preserve">    一、就业与招生联动，相互促进</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近年来，我院毕业生就业质量不断提高，就业率保持在较高水平；加之毕业生良好的专业素养受到用人单位的赏识，在业界崭露头角，得到社会各界的肯定，为学院赢得了荣誉，扩大了学院的知名度，增强了学院的影响力，吸引到更多的考生报考我院。</w:t>
      </w:r>
    </w:p>
    <w:p>
      <w:pPr>
        <w:pStyle w:val="26"/>
        <w:spacing w:before="0" w:beforeAutospacing="0" w:after="0" w:afterAutospacing="0" w:line="500" w:lineRule="exact"/>
        <w:ind w:firstLine="1400" w:firstLineChars="500"/>
        <w:jc w:val="center"/>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2012-201</w:t>
      </w:r>
      <w:r>
        <w:rPr>
          <w:rFonts w:hint="eastAsia" w:asciiTheme="majorEastAsia" w:hAnsiTheme="majorEastAsia" w:eastAsiaTheme="majorEastAsia" w:cstheme="majorEastAsia"/>
          <w:kern w:val="2"/>
          <w:sz w:val="24"/>
          <w:szCs w:val="24"/>
          <w:lang w:val="en-US" w:eastAsia="zh-CN"/>
        </w:rPr>
        <w:t>6</w:t>
      </w:r>
      <w:r>
        <w:rPr>
          <w:rFonts w:hint="eastAsia" w:asciiTheme="majorEastAsia" w:hAnsiTheme="majorEastAsia" w:eastAsiaTheme="majorEastAsia" w:cstheme="majorEastAsia"/>
          <w:kern w:val="2"/>
          <w:sz w:val="24"/>
          <w:szCs w:val="24"/>
        </w:rPr>
        <w:t>年本科招生报名人数</w:t>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Data\\Tencent\\Users\\389216155\\QQ\\WinTemp\\RichOle\\}%ZN~%PJ)~(`@X$O]XB]9J8.png"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540885" cy="1585595"/>
            <wp:effectExtent l="0" t="0" r="12065" b="14605"/>
            <wp:docPr id="3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IMG_256"/>
                    <pic:cNvPicPr>
                      <a:picLocks noChangeAspect="1"/>
                    </pic:cNvPicPr>
                  </pic:nvPicPr>
                  <pic:blipFill>
                    <a:blip r:embed="rId177"/>
                    <a:stretch>
                      <a:fillRect/>
                    </a:stretch>
                  </pic:blipFill>
                  <pic:spPr>
                    <a:xfrm>
                      <a:off x="0" y="0"/>
                      <a:ext cx="4540885" cy="15855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widowControl/>
        <w:jc w:val="center"/>
        <w:rPr>
          <w:rFonts w:hint="eastAsia" w:asciiTheme="majorEastAsia" w:hAnsiTheme="majorEastAsia" w:eastAsiaTheme="majorEastAsia" w:cstheme="majorEastAsia"/>
          <w:kern w:val="0"/>
          <w:sz w:val="24"/>
          <w:szCs w:val="24"/>
        </w:rPr>
      </w:pP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近年来，本专科招生报名人数一年一个台阶，人数屡创历史新高。面对持续多年的“艺考热”，学院坚持“培养戏剧影视艺术精英人才”的理念，从招生工作入手，严把生源质量关，践行“十年不扩招”的承诺。自2015年起，规定每名考生限报3个专业，主动为“艺考热”降温，引导考生理性报考，报名人数首次下降。</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过去的10年里，学院每年的招生规模都控制在600人左右，今后10年，学院依然坚持每年约600名的招生规模。优质的生源是保证人才培养质量的基础，也是提高毕业生就业质量的前提。就业与招生工作形成了良性互动，相互促进，是学院坚持走精英教育路线和质量兴校战略的生动体现。</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学院继续实施“订单培养”的方式，与国家院团开展合作办学。近年来，学院分别与中国儿童艺术剧院、北京人民艺术剧院、中国歌剧舞剧院、最高人民检察院等单位联合招生、共同培养，学生毕业时采取双向选择、择优录用的原则。这种招生模式，在入口环节就较好的解决了学生毕业生的就业难题。</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2014年12月15日，中央戏剧学院开国内艺术院校之先河，与俄罗斯圣彼得堡国立戏剧学院举行“表演专业双学位校际交流合作协议”签字仪式，双方商定联合培养表演艺术人才，采取中国首创“2+2”培养模式，即四年学制的本科表演专业学生，从2015年开始，2年在俄罗斯，2年在中国学习，4年之后两所世界著名的戏剧学院为每位合格学生颁发双学历和双学位证书。</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2015年12月11日，中央戏剧学院与英国盖德霍尔音乐戏剧学院签署合作协议，约定双方合作开展表演专业双学位校际交流项目。两校首次在本科专业教育领域开展校际合作。该项目由两校共同制定培养方案，互认学分，学生将在两校各学习两年，成绩合格者将分别获得两校颁发的毕业(学位)证书。</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lang w:val="en-US" w:eastAsia="zh-CN"/>
        </w:rPr>
      </w:pPr>
      <w:r>
        <w:rPr>
          <w:rFonts w:hint="eastAsia" w:asciiTheme="majorEastAsia" w:hAnsiTheme="majorEastAsia" w:eastAsiaTheme="majorEastAsia" w:cstheme="majorEastAsia"/>
          <w:kern w:val="2"/>
          <w:sz w:val="24"/>
          <w:szCs w:val="24"/>
          <w:lang w:val="en-US" w:eastAsia="zh-CN"/>
        </w:rPr>
        <w:t>2016年12月22日，学院与芝加哥哥伦比亚学院签署3+2校际交流项目合作协议，于2017年9月起正式实施。学生将在中央戏剧学院学习3年、在芝加哥哥伦比亚学院学习2年，成绩合格者将分别获得中央戏剧学院颁发的本科毕业（学位）证书及芝加哥哥伦比亚学院颁发的硕士毕业（学位）证书。</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lang w:val="en-US" w:eastAsia="zh-CN"/>
        </w:rPr>
      </w:pP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针对近年来专科毕业生就业竞争力弱的现实情况，我院从2012年起，逐步减少了专科毕业生的招生规模，按照逐年递减的方式，2015年已取消专科招生。</w:t>
      </w:r>
      <w:r>
        <w:rPr>
          <w:rFonts w:hint="eastAsia" w:asciiTheme="majorEastAsia" w:hAnsiTheme="majorEastAsia" w:eastAsiaTheme="majorEastAsia" w:cstheme="majorEastAsia"/>
          <w:kern w:val="2"/>
          <w:sz w:val="24"/>
          <w:szCs w:val="24"/>
          <w:lang w:val="en-US" w:eastAsia="zh-CN"/>
        </w:rPr>
        <w:t>2016届专科毕业生为我院的专科层次划上了句号。</w:t>
      </w:r>
    </w:p>
    <w:p>
      <w:pPr>
        <w:pStyle w:val="26"/>
        <w:spacing w:before="0" w:beforeAutospacing="0" w:after="0" w:afterAutospacing="0" w:line="500" w:lineRule="exact"/>
        <w:ind w:firstLine="1820" w:firstLineChars="650"/>
        <w:jc w:val="center"/>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图58  2011-2015年专科生录取人数</w:t>
      </w:r>
    </w:p>
    <w:p>
      <w:pPr>
        <w:widowControl/>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fldChar w:fldCharType="begin"/>
      </w:r>
      <w:r>
        <w:rPr>
          <w:rFonts w:hint="eastAsia" w:asciiTheme="majorEastAsia" w:hAnsiTheme="majorEastAsia" w:eastAsiaTheme="majorEastAsia" w:cstheme="majorEastAsia"/>
          <w:kern w:val="0"/>
          <w:sz w:val="24"/>
          <w:szCs w:val="24"/>
        </w:rPr>
        <w:instrText xml:space="preserve"> INCLUDEPICTURE "C:\\Documents and Settings\\Administrator\\Application Data\\Tencent\\Users\\389216155\\QQ\\WinTemp\\RichOle\\(M5EFMG~E6WC2(X1FGZBH3V.png" \* MERGEFORMATINET </w:instrText>
      </w:r>
      <w:r>
        <w:rPr>
          <w:rFonts w:hint="eastAsia" w:asciiTheme="majorEastAsia" w:hAnsiTheme="majorEastAsia" w:eastAsiaTheme="majorEastAsia" w:cstheme="majorEastAsia"/>
          <w:kern w:val="0"/>
          <w:sz w:val="24"/>
          <w:szCs w:val="24"/>
        </w:rPr>
        <w:fldChar w:fldCharType="separate"/>
      </w:r>
      <w:r>
        <w:rPr>
          <w:rFonts w:hint="eastAsia" w:asciiTheme="majorEastAsia" w:hAnsiTheme="majorEastAsia" w:eastAsiaTheme="majorEastAsia" w:cstheme="majorEastAsia"/>
          <w:kern w:val="0"/>
          <w:sz w:val="24"/>
          <w:szCs w:val="24"/>
        </w:rPr>
        <w:drawing>
          <wp:inline distT="0" distB="0" distL="114300" distR="114300">
            <wp:extent cx="5258435" cy="2028825"/>
            <wp:effectExtent l="0" t="0" r="18415" b="9525"/>
            <wp:docPr id="34" name="图片 6" descr="(M5EFMG~E6WC2(X1FGZBH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M5EFMG~E6WC2(X1FGZBH3V"/>
                    <pic:cNvPicPr>
                      <a:picLocks noChangeAspect="1"/>
                    </pic:cNvPicPr>
                  </pic:nvPicPr>
                  <pic:blipFill>
                    <a:blip r:embed="rId178"/>
                    <a:stretch>
                      <a:fillRect/>
                    </a:stretch>
                  </pic:blipFill>
                  <pic:spPr>
                    <a:xfrm>
                      <a:off x="0" y="0"/>
                      <a:ext cx="5258435" cy="2028825"/>
                    </a:xfrm>
                    <a:prstGeom prst="rect">
                      <a:avLst/>
                    </a:prstGeom>
                    <a:noFill/>
                    <a:ln w="9525">
                      <a:noFill/>
                    </a:ln>
                  </pic:spPr>
                </pic:pic>
              </a:graphicData>
            </a:graphic>
          </wp:inline>
        </w:drawing>
      </w:r>
      <w:r>
        <w:rPr>
          <w:rFonts w:hint="eastAsia" w:asciiTheme="majorEastAsia" w:hAnsiTheme="majorEastAsia" w:eastAsiaTheme="majorEastAsia" w:cstheme="majorEastAsia"/>
          <w:kern w:val="0"/>
          <w:sz w:val="24"/>
          <w:szCs w:val="24"/>
        </w:rPr>
        <w:fldChar w:fldCharType="end"/>
      </w:r>
    </w:p>
    <w:p>
      <w:pPr>
        <w:pStyle w:val="26"/>
        <w:spacing w:before="0" w:beforeAutospacing="0" w:after="0" w:afterAutospacing="0" w:line="500" w:lineRule="exact"/>
        <w:ind w:firstLine="560" w:firstLineChars="200"/>
        <w:jc w:val="both"/>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2015年，基于更好地选拔和录取创新型实践型人才的需要，对部分专业的专业考试内容也进行了调整。其中，舞剧系舞剧表演专业的考试由原先的三试改为了两试。而电影电视系影视制片专业方向将原二试命题叙事散文写作考试科目改为议论文写作。</w:t>
      </w:r>
    </w:p>
    <w:p>
      <w:pPr>
        <w:numPr>
          <w:ilvl w:val="0"/>
          <w:numId w:val="0"/>
        </w:numPr>
        <w:spacing w:line="500" w:lineRule="exact"/>
        <w:rPr>
          <w:rFonts w:hint="eastAsia" w:asciiTheme="majorEastAsia" w:hAnsiTheme="majorEastAsia" w:eastAsiaTheme="majorEastAsia" w:cstheme="majorEastAsia"/>
          <w:b/>
          <w:bCs w:val="0"/>
          <w:color w:val="E36C09" w:themeColor="accent6" w:themeShade="BF"/>
          <w:kern w:val="2"/>
          <w:sz w:val="24"/>
          <w:szCs w:val="24"/>
          <w:lang w:val="en-US" w:eastAsia="zh-CN" w:bidi="ar-SA"/>
        </w:rPr>
      </w:pPr>
      <w:r>
        <w:rPr>
          <w:rFonts w:hint="eastAsia" w:asciiTheme="majorEastAsia" w:hAnsiTheme="majorEastAsia" w:eastAsiaTheme="majorEastAsia" w:cstheme="majorEastAsia"/>
          <w:b/>
          <w:bCs w:val="0"/>
          <w:color w:val="E36C09" w:themeColor="accent6" w:themeShade="BF"/>
          <w:kern w:val="2"/>
          <w:sz w:val="24"/>
          <w:szCs w:val="24"/>
          <w:lang w:val="en-US" w:eastAsia="zh-CN" w:bidi="ar-SA"/>
        </w:rPr>
        <w:t xml:space="preserve">    二、调整专业设置，提高教学质量</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学院放眼世界戏剧艺术教育和研究的前沿，以国际化视角审视学院未来发展，以为国家乃至世界培养戏剧影视艺术精英人才为目标，积极开展学科及专业的内部结构调整，使我院整体本科专业建设水平达到国际一流水准。学院逐年缩小高职（专科）办学规模，完善本科专业结构体系，充分展现了我们要办“国际一流本科”的态度与决心。自2012年起，学院新成立音乐剧系、京剧系、舞剧系、戏剧教育系，恢复设立歌剧系，增设歌剧表演、舞剧表演、戏剧教育、演艺影像设计、戏剧策划与应用等专业方向，部分专业方向如戏剧影视导演、舞台设计、戏剧创作专业方向由四年制恢复为五年制。新的系别、专业方向的成立，部分专业（方向）学制的恢复既是行业对人才需求的必行之举，也是学院优化学科体系、专业结构、提高人才培养质量的必然选择。</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2015年，新开设的戏剧策划与应用专业方向开始招生。该专业方向为戏剧文学系戏剧学专业下设方向，招生24名。该专业方向为国内首创，将着重培养学生在戏剧策划、编创和应用方面所需的基础理论知识与实践应用能力，培养既能在剧院的相关部门从事国际交流、策划创意、戏剧构作工作，也可独立策划、创作剧场作品，还可以从事戏剧社会化应用工作的全面发展的复合型专业人才。</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为了更好的满足基础教学特别是实践教学的需要，学院遵循艺术教育规律。从2015年起，电影电视系影视编导专业方向的学制调整为五年。学院将在五年制教育中加强课程的配套性、渐进性，切实提高学生的艺术水平和技术能力，实现培养实践型影视导演、编剧艺术人才的教育目标。</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调整专业设置，优化学科体系，培养与社会需求对接的戏剧影视艺术人才，既是学院贯彻国家文化发展方针的具体举措，也是学院落实国家“推动毕业生高质量就业”的具体体现，既是为国家和社会培养急需的艺术人才，也是为青年学生提供更好的发展舞台。</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未来学院将继续完善本科专业结构体系并加强本科教学的中心地位，这不仅将最大程度的保证学院本科教育教学质量的持续提升，同时也凸显了学院向“国际一流本科”办学目标迈进的决心和战略。</w:t>
      </w:r>
    </w:p>
    <w:p>
      <w:pPr>
        <w:pStyle w:val="26"/>
        <w:spacing w:before="0" w:beforeAutospacing="0" w:after="0" w:afterAutospacing="0" w:line="500" w:lineRule="exact"/>
        <w:ind w:firstLine="570"/>
        <w:rPr>
          <w:rFonts w:hint="eastAsia" w:asciiTheme="majorEastAsia" w:hAnsiTheme="majorEastAsia" w:eastAsiaTheme="majorEastAsia" w:cstheme="majorEastAsia"/>
          <w:b/>
          <w:bCs w:val="0"/>
          <w:color w:val="E36C09" w:themeColor="accent6" w:themeShade="BF"/>
          <w:kern w:val="2"/>
          <w:sz w:val="24"/>
          <w:szCs w:val="24"/>
          <w:lang w:val="en-US" w:eastAsia="zh-CN" w:bidi="ar-SA"/>
        </w:rPr>
      </w:pPr>
      <w:r>
        <w:rPr>
          <w:rFonts w:hint="eastAsia" w:asciiTheme="majorEastAsia" w:hAnsiTheme="majorEastAsia" w:eastAsiaTheme="majorEastAsia" w:cstheme="majorEastAsia"/>
          <w:b/>
          <w:bCs w:val="0"/>
          <w:color w:val="E36C09" w:themeColor="accent6" w:themeShade="BF"/>
          <w:kern w:val="2"/>
          <w:sz w:val="24"/>
          <w:szCs w:val="24"/>
          <w:lang w:val="en-US" w:eastAsia="zh-CN" w:bidi="ar-SA"/>
        </w:rPr>
        <w:t>三、重视实践教学，创业带动就业</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r>
        <w:rPr>
          <w:rFonts w:hint="eastAsia" w:asciiTheme="majorEastAsia" w:hAnsiTheme="majorEastAsia" w:eastAsiaTheme="majorEastAsia" w:cstheme="majorEastAsia"/>
          <w:kern w:val="2"/>
          <w:sz w:val="24"/>
          <w:szCs w:val="24"/>
        </w:rPr>
        <w:t>学院高度重视实践教学，注重学生实践能力、创新能力的培养和提高，推动学生的专业能力向职业技能转化，实现专业学习向职业发展的对接。作为一所国际一流的“重基础、厚实践”的高等戏剧艺术院校，学院始终坚持所培养的人才既具理论素养，又具有较强的实践能力。自2012级学生起，我院低年级学生在昌平校区学习，扎实理论基础；学生进入高年级后回到东城校区，一方面培养其实践能力，另一方面充分感受北京市区内浓厚的戏剧文化氛围，为就业做好准备。同时，学院坚持“教学实习一体化”，以一流剧院团剧目生产为教学实习依据，组织学院各专业方向学生进入我院教学实习演出中心进行实习，利用校内实习基地，充分培养学生实践能力。2013年起，学院以开展“国家大学生创新创业训练计划”为契机，积极拓展实践教学平台，使学生在毕业前能够有机会进入市场打造属于学生个人的品牌，鼓励学生自主创业，以创业带动就业。</w:t>
      </w:r>
    </w:p>
    <w:p>
      <w:pPr>
        <w:pStyle w:val="26"/>
        <w:spacing w:before="0" w:beforeAutospacing="0" w:after="0" w:afterAutospacing="0" w:line="500" w:lineRule="exact"/>
        <w:ind w:firstLine="560" w:firstLineChars="200"/>
        <w:rPr>
          <w:rFonts w:hint="eastAsia" w:asciiTheme="majorEastAsia" w:hAnsiTheme="majorEastAsia" w:eastAsiaTheme="majorEastAsia" w:cstheme="majorEastAsia"/>
          <w:kern w:val="2"/>
          <w:sz w:val="24"/>
          <w:szCs w:val="24"/>
        </w:rPr>
      </w:pPr>
    </w:p>
    <w:p>
      <w:pPr>
        <w:pStyle w:val="26"/>
        <w:spacing w:before="0" w:beforeAutospacing="0" w:after="0" w:afterAutospacing="0" w:line="500" w:lineRule="exact"/>
        <w:ind w:firstLine="560" w:firstLineChars="200"/>
        <w:rPr>
          <w:rFonts w:hint="eastAsia"/>
          <w:sz w:val="24"/>
          <w:szCs w:val="24"/>
          <w:lang w:eastAsia="zh-CN"/>
        </w:rPr>
      </w:pPr>
      <w:r>
        <w:rPr>
          <w:rFonts w:hint="eastAsia" w:asciiTheme="majorEastAsia" w:hAnsiTheme="majorEastAsia" w:eastAsiaTheme="majorEastAsia" w:cstheme="majorEastAsia"/>
          <w:kern w:val="2"/>
          <w:sz w:val="24"/>
          <w:szCs w:val="24"/>
        </w:rPr>
        <w:t>面对严峻的经济形势和严峻的就业环境，我院的就业工作也面临着严峻的挑战。我院坚决贯彻落实201</w:t>
      </w:r>
      <w:r>
        <w:rPr>
          <w:rFonts w:hint="eastAsia" w:asciiTheme="majorEastAsia" w:hAnsiTheme="majorEastAsia" w:eastAsiaTheme="majorEastAsia" w:cstheme="majorEastAsia"/>
          <w:kern w:val="2"/>
          <w:sz w:val="24"/>
          <w:szCs w:val="24"/>
          <w:lang w:val="en-US" w:eastAsia="zh-CN"/>
        </w:rPr>
        <w:t>7</w:t>
      </w:r>
      <w:r>
        <w:rPr>
          <w:rFonts w:hint="eastAsia" w:asciiTheme="majorEastAsia" w:hAnsiTheme="majorEastAsia" w:eastAsiaTheme="majorEastAsia" w:cstheme="majorEastAsia"/>
          <w:kern w:val="2"/>
          <w:sz w:val="24"/>
          <w:szCs w:val="24"/>
        </w:rPr>
        <w:t>年全国普通高等学校毕业生就业工作网络视频会议精神，坚决贯彻落实学院“质量立校、质量兴校”的发展战略，努力建设高水平就业服务平台，提升毕业生就业质量，为学院的发展建设做出新的贡献。</w:t>
      </w:r>
    </w:p>
    <w:p>
      <w:pPr>
        <w:pStyle w:val="26"/>
        <w:keepNext w:val="0"/>
        <w:keepLines w:val="0"/>
        <w:widowControl w:val="0"/>
        <w:suppressLineNumbers w:val="0"/>
        <w:spacing w:before="624" w:beforeLines="200" w:beforeAutospacing="0" w:after="936" w:afterLines="300" w:afterAutospacing="0"/>
        <w:ind w:left="0" w:right="0"/>
        <w:jc w:val="center"/>
        <w:outlineLvl w:val="0"/>
        <w:rPr>
          <w:rFonts w:hint="eastAsia" w:ascii="黑体" w:hAnsi="宋体" w:eastAsia="黑体" w:cs="黑体"/>
          <w:b/>
          <w:color w:val="E36C09"/>
          <w:kern w:val="2"/>
          <w:sz w:val="44"/>
          <w:szCs w:val="44"/>
          <w:lang w:val="en-US" w:eastAsia="zh-CN" w:bidi="ar"/>
        </w:rPr>
      </w:pP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3"/>
        <w:spacing w:before="312" w:after="156"/>
        <w:rPr>
          <w:rFonts w:hint="eastAsia"/>
        </w:rPr>
      </w:pPr>
    </w:p>
    <w:p>
      <w:pPr>
        <w:pStyle w:val="43"/>
        <w:spacing w:before="312" w:after="156"/>
      </w:pPr>
      <w:r>
        <w:rPr>
          <w:rFonts w:hint="eastAsia"/>
        </w:rPr>
        <w:t>附录</w:t>
      </w:r>
      <w:bookmarkEnd w:id="279"/>
    </w:p>
    <w:p>
      <w:pPr>
        <w:pStyle w:val="53"/>
        <w:spacing w:before="312" w:after="156"/>
      </w:pPr>
      <w:r>
        <w:rPr>
          <w:rFonts w:hint="eastAsia"/>
        </w:rPr>
        <w:t>中央戏剧学院毕业生主要就业数据</w:t>
      </w:r>
    </w:p>
    <w:tbl>
      <w:tblPr>
        <w:tblStyle w:val="96"/>
        <w:tblW w:w="13948" w:type="dxa"/>
        <w:jc w:val="center"/>
        <w:tblInd w:w="0"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
      <w:tblGrid>
        <w:gridCol w:w="846"/>
        <w:gridCol w:w="684"/>
        <w:gridCol w:w="2258"/>
        <w:gridCol w:w="2281"/>
        <w:gridCol w:w="2491"/>
        <w:gridCol w:w="2641"/>
        <w:gridCol w:w="2747"/>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tcPr>
          <w:p>
            <w:pPr>
              <w:pStyle w:val="53"/>
              <w:numPr>
                <w:ilvl w:val="0"/>
                <w:numId w:val="0"/>
              </w:numPr>
              <w:spacing w:before="312" w:after="156"/>
              <w:ind w:left="284"/>
            </w:pPr>
          </w:p>
        </w:tc>
        <w:tc>
          <w:tcPr>
            <w:tcW w:w="684" w:type="dxa"/>
          </w:tcPr>
          <w:p>
            <w:pPr>
              <w:jc w:val="center"/>
              <w:rPr>
                <w:b/>
              </w:rPr>
            </w:pPr>
            <w:r>
              <w:rPr>
                <w:rFonts w:hint="eastAsia"/>
                <w:b/>
              </w:rPr>
              <w:t>项目</w:t>
            </w:r>
          </w:p>
        </w:tc>
        <w:tc>
          <w:tcPr>
            <w:tcW w:w="2258" w:type="dxa"/>
          </w:tcPr>
          <w:p>
            <w:pPr>
              <w:jc w:val="center"/>
              <w:rPr>
                <w:b/>
              </w:rPr>
            </w:pPr>
            <w:r>
              <w:rPr>
                <w:rFonts w:hint="eastAsia"/>
                <w:b/>
              </w:rPr>
              <w:t>内容</w:t>
            </w:r>
          </w:p>
        </w:tc>
        <w:tc>
          <w:tcPr>
            <w:tcW w:w="2281" w:type="dxa"/>
          </w:tcPr>
          <w:p>
            <w:pPr>
              <w:jc w:val="center"/>
              <w:rPr>
                <w:b/>
              </w:rPr>
            </w:pPr>
            <w:r>
              <w:rPr>
                <w:rFonts w:hint="eastAsia"/>
                <w:b/>
              </w:rPr>
              <w:t>专科生</w:t>
            </w:r>
          </w:p>
        </w:tc>
        <w:tc>
          <w:tcPr>
            <w:tcW w:w="2491" w:type="dxa"/>
          </w:tcPr>
          <w:p>
            <w:pPr>
              <w:jc w:val="center"/>
              <w:rPr>
                <w:b/>
              </w:rPr>
            </w:pPr>
            <w:r>
              <w:rPr>
                <w:rFonts w:hint="eastAsia"/>
                <w:b/>
              </w:rPr>
              <w:t>本科生</w:t>
            </w:r>
          </w:p>
        </w:tc>
        <w:tc>
          <w:tcPr>
            <w:tcW w:w="2641" w:type="dxa"/>
          </w:tcPr>
          <w:p>
            <w:pPr>
              <w:jc w:val="center"/>
              <w:rPr>
                <w:b/>
              </w:rPr>
            </w:pPr>
            <w:r>
              <w:rPr>
                <w:rFonts w:hint="eastAsia"/>
                <w:b/>
              </w:rPr>
              <w:t>研究生</w:t>
            </w:r>
          </w:p>
        </w:tc>
        <w:tc>
          <w:tcPr>
            <w:tcW w:w="2747" w:type="dxa"/>
          </w:tcPr>
          <w:p>
            <w:pPr>
              <w:jc w:val="center"/>
              <w:rPr>
                <w:b/>
                <w:color w:val="FF0000"/>
              </w:rPr>
            </w:pPr>
            <w:r>
              <w:rPr>
                <w:rFonts w:hint="eastAsia"/>
                <w:b/>
              </w:rPr>
              <w:t>总体</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restart"/>
          </w:tcPr>
          <w:p>
            <w:pPr>
              <w:jc w:val="left"/>
            </w:pPr>
          </w:p>
        </w:tc>
        <w:tc>
          <w:tcPr>
            <w:tcW w:w="684" w:type="dxa"/>
            <w:vMerge w:val="restart"/>
          </w:tcPr>
          <w:p>
            <w:pPr>
              <w:jc w:val="left"/>
            </w:pPr>
            <w:r>
              <w:rPr>
                <w:rFonts w:hint="eastAsia"/>
              </w:rPr>
              <w:t>毕业去向与规模</w:t>
            </w:r>
          </w:p>
        </w:tc>
        <w:tc>
          <w:tcPr>
            <w:tcW w:w="2258" w:type="dxa"/>
          </w:tcPr>
          <w:p>
            <w:pPr>
              <w:jc w:val="left"/>
              <w:rPr>
                <w:color w:val="FF0000"/>
              </w:rPr>
            </w:pPr>
            <w:r>
              <w:t>1</w:t>
            </w:r>
            <w:r>
              <w:rPr>
                <w:rFonts w:hint="eastAsia"/>
              </w:rPr>
              <w:t>就业率</w:t>
            </w:r>
          </w:p>
        </w:tc>
        <w:tc>
          <w:tcPr>
            <w:tcW w:w="2281" w:type="dxa"/>
          </w:tcPr>
          <w:p>
            <w:pPr>
              <w:jc w:val="left"/>
            </w:pPr>
            <w:r>
              <w:rPr>
                <w:rFonts w:hint="eastAsia"/>
              </w:rPr>
              <w:t>93.8</w:t>
            </w:r>
            <w:r>
              <w:t>%</w:t>
            </w:r>
          </w:p>
        </w:tc>
        <w:tc>
          <w:tcPr>
            <w:tcW w:w="2491" w:type="dxa"/>
          </w:tcPr>
          <w:p>
            <w:pPr>
              <w:jc w:val="left"/>
            </w:pPr>
            <w:r>
              <w:rPr>
                <w:rFonts w:hint="eastAsia"/>
              </w:rPr>
              <w:t>94.0</w:t>
            </w:r>
            <w:r>
              <w:t>%</w:t>
            </w:r>
          </w:p>
        </w:tc>
        <w:tc>
          <w:tcPr>
            <w:tcW w:w="2641" w:type="dxa"/>
          </w:tcPr>
          <w:p>
            <w:pPr>
              <w:jc w:val="left"/>
            </w:pPr>
            <w:r>
              <w:rPr>
                <w:rFonts w:hint="eastAsia"/>
              </w:rPr>
              <w:t>100.0</w:t>
            </w:r>
            <w:r>
              <w:t>%</w:t>
            </w:r>
          </w:p>
        </w:tc>
        <w:tc>
          <w:tcPr>
            <w:tcW w:w="2747" w:type="dxa"/>
          </w:tcPr>
          <w:p>
            <w:pPr>
              <w:jc w:val="left"/>
            </w:pPr>
            <w:r>
              <w:rPr>
                <w:rFonts w:hint="eastAsia"/>
              </w:rPr>
              <w:t>95.3</w:t>
            </w:r>
            <w: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trHeight w:val="343" w:hRule="atLeast"/>
          <w:jc w:val="center"/>
        </w:trPr>
        <w:tc>
          <w:tcPr>
            <w:tcW w:w="846" w:type="dxa"/>
            <w:vMerge w:val="continue"/>
          </w:tcPr>
          <w:p/>
        </w:tc>
        <w:tc>
          <w:tcPr>
            <w:tcW w:w="684" w:type="dxa"/>
            <w:vMerge w:val="continue"/>
          </w:tcPr>
          <w:p/>
        </w:tc>
        <w:tc>
          <w:tcPr>
            <w:tcW w:w="2258" w:type="dxa"/>
          </w:tcPr>
          <w:p>
            <w:r>
              <w:rPr>
                <w:rFonts w:hint="eastAsia"/>
              </w:rPr>
              <w:t>2.人员规模</w:t>
            </w:r>
          </w:p>
        </w:tc>
        <w:tc>
          <w:tcPr>
            <w:tcW w:w="2281" w:type="dxa"/>
          </w:tcPr>
          <w:p>
            <w:r>
              <w:rPr>
                <w:rFonts w:hint="eastAsia"/>
              </w:rPr>
              <w:t>96</w:t>
            </w:r>
          </w:p>
        </w:tc>
        <w:tc>
          <w:tcPr>
            <w:tcW w:w="2491" w:type="dxa"/>
          </w:tcPr>
          <w:p>
            <w:r>
              <w:rPr>
                <w:rFonts w:hint="eastAsia"/>
              </w:rPr>
              <w:t>348</w:t>
            </w:r>
          </w:p>
        </w:tc>
        <w:tc>
          <w:tcPr>
            <w:tcW w:w="2641" w:type="dxa"/>
          </w:tcPr>
          <w:p>
            <w:r>
              <w:rPr>
                <w:rFonts w:hint="eastAsia"/>
              </w:rPr>
              <w:t>126</w:t>
            </w:r>
          </w:p>
        </w:tc>
        <w:tc>
          <w:tcPr>
            <w:tcW w:w="2747" w:type="dxa"/>
          </w:tcPr>
          <w:p>
            <w:r>
              <w:t>570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restart"/>
            <w:vAlign w:val="center"/>
          </w:tcPr>
          <w:p>
            <w:pPr>
              <w:jc w:val="left"/>
            </w:pPr>
            <w:r>
              <w:rPr>
                <w:rFonts w:hint="eastAsia"/>
              </w:rPr>
              <w:t>毕业生就业状况调查（样本量：</w:t>
            </w:r>
            <w:r>
              <w:t>299</w:t>
            </w:r>
            <w:r>
              <w:rPr>
                <w:rFonts w:hint="eastAsia"/>
              </w:rPr>
              <w:t>）</w:t>
            </w:r>
          </w:p>
        </w:tc>
        <w:tc>
          <w:tcPr>
            <w:tcW w:w="684" w:type="dxa"/>
            <w:vMerge w:val="restart"/>
            <w:vAlign w:val="center"/>
          </w:tcPr>
          <w:p>
            <w:pPr>
              <w:jc w:val="left"/>
            </w:pPr>
            <w:r>
              <w:rPr>
                <w:rFonts w:hint="eastAsia"/>
              </w:rPr>
              <w:t>求职结果</w:t>
            </w:r>
          </w:p>
        </w:tc>
        <w:tc>
          <w:tcPr>
            <w:tcW w:w="2258" w:type="dxa"/>
          </w:tcPr>
          <w:p>
            <w:pPr>
              <w:jc w:val="left"/>
            </w:pPr>
            <w:r>
              <w:t>3.</w:t>
            </w:r>
            <w:r>
              <w:rPr>
                <w:rFonts w:hint="eastAsia"/>
              </w:rPr>
              <w:t>就业满意度</w:t>
            </w:r>
          </w:p>
        </w:tc>
        <w:tc>
          <w:tcPr>
            <w:tcW w:w="2281" w:type="dxa"/>
          </w:tcPr>
          <w:p>
            <w:pPr>
              <w:jc w:val="left"/>
            </w:pPr>
            <w:r>
              <w:rPr>
                <w:rFonts w:hint="eastAsia"/>
              </w:rPr>
              <w:t>75.1</w:t>
            </w:r>
            <w:r>
              <w:t>%</w:t>
            </w:r>
          </w:p>
        </w:tc>
        <w:tc>
          <w:tcPr>
            <w:tcW w:w="2491" w:type="dxa"/>
          </w:tcPr>
          <w:p>
            <w:pPr>
              <w:jc w:val="left"/>
            </w:pPr>
            <w:r>
              <w:rPr>
                <w:rFonts w:hint="eastAsia"/>
              </w:rPr>
              <w:t>72.1</w:t>
            </w:r>
            <w:r>
              <w:t>%</w:t>
            </w:r>
          </w:p>
        </w:tc>
        <w:tc>
          <w:tcPr>
            <w:tcW w:w="2641" w:type="dxa"/>
          </w:tcPr>
          <w:p>
            <w:pPr>
              <w:jc w:val="left"/>
            </w:pPr>
            <w:r>
              <w:rPr>
                <w:rFonts w:hint="eastAsia"/>
              </w:rPr>
              <w:t>89.3</w:t>
            </w:r>
            <w:r>
              <w:t>%</w:t>
            </w:r>
          </w:p>
        </w:tc>
        <w:tc>
          <w:tcPr>
            <w:tcW w:w="2747" w:type="dxa"/>
          </w:tcPr>
          <w:p>
            <w:r>
              <w:t>75.1%</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4.就业</w:t>
            </w:r>
            <w:r>
              <w:rPr>
                <w:rFonts w:hint="eastAsia"/>
              </w:rPr>
              <w:t>地区</w:t>
            </w:r>
          </w:p>
        </w:tc>
        <w:tc>
          <w:tcPr>
            <w:tcW w:w="2281" w:type="dxa"/>
          </w:tcPr>
          <w:p>
            <w:r>
              <w:rPr>
                <w:rFonts w:hint="eastAsia"/>
              </w:rPr>
              <w:t>北京（100.0</w:t>
            </w:r>
            <w:r>
              <w:t>%</w:t>
            </w:r>
            <w:r>
              <w:rPr>
                <w:rFonts w:hint="eastAsia"/>
              </w:rPr>
              <w:t>）</w:t>
            </w:r>
          </w:p>
        </w:tc>
        <w:tc>
          <w:tcPr>
            <w:tcW w:w="2491" w:type="dxa"/>
          </w:tcPr>
          <w:p>
            <w:r>
              <w:rPr>
                <w:rFonts w:hint="eastAsia"/>
              </w:rPr>
              <w:t>北京</w:t>
            </w:r>
            <w:r>
              <w:t>（</w:t>
            </w:r>
            <w:r>
              <w:rPr>
                <w:rFonts w:hint="eastAsia"/>
              </w:rPr>
              <w:t>96.7</w:t>
            </w:r>
            <w:r>
              <w:t>%）</w:t>
            </w:r>
            <w:r>
              <w:rPr>
                <w:rFonts w:hint="eastAsia"/>
              </w:rPr>
              <w:t>、</w:t>
            </w:r>
            <w:r>
              <w:t>东部（</w:t>
            </w:r>
            <w:r>
              <w:rPr>
                <w:rFonts w:hint="eastAsia"/>
              </w:rPr>
              <w:t>2.4</w:t>
            </w:r>
            <w:r>
              <w:t>%）</w:t>
            </w:r>
            <w:r>
              <w:rPr>
                <w:rFonts w:hint="eastAsia"/>
              </w:rPr>
              <w:t>、</w:t>
            </w:r>
            <w:r>
              <w:t>中部（</w:t>
            </w:r>
            <w:r>
              <w:rPr>
                <w:rFonts w:hint="eastAsia"/>
              </w:rPr>
              <w:t>0.8</w:t>
            </w:r>
            <w:r>
              <w:t>%）</w:t>
            </w:r>
          </w:p>
        </w:tc>
        <w:tc>
          <w:tcPr>
            <w:tcW w:w="2641" w:type="dxa"/>
          </w:tcPr>
          <w:p>
            <w:r>
              <w:rPr>
                <w:rFonts w:hint="eastAsia"/>
              </w:rPr>
              <w:t>北京</w:t>
            </w:r>
            <w:r>
              <w:t>（</w:t>
            </w:r>
            <w:r>
              <w:rPr>
                <w:rFonts w:hint="eastAsia"/>
              </w:rPr>
              <w:t>92.9</w:t>
            </w:r>
            <w:r>
              <w:t>%）</w:t>
            </w:r>
            <w:r>
              <w:rPr>
                <w:rFonts w:hint="eastAsia"/>
              </w:rPr>
              <w:t>、</w:t>
            </w:r>
            <w:r>
              <w:t>东部（</w:t>
            </w:r>
            <w:r>
              <w:rPr>
                <w:rFonts w:hint="eastAsia"/>
              </w:rPr>
              <w:t>3.6</w:t>
            </w:r>
            <w:r>
              <w:t>%）</w:t>
            </w:r>
            <w:r>
              <w:rPr>
                <w:rFonts w:hint="eastAsia"/>
              </w:rPr>
              <w:t>、西</w:t>
            </w:r>
            <w:r>
              <w:t>部（</w:t>
            </w:r>
            <w:r>
              <w:rPr>
                <w:rFonts w:hint="eastAsia"/>
              </w:rPr>
              <w:t>3.6</w:t>
            </w:r>
            <w:r>
              <w:t>%）</w:t>
            </w:r>
          </w:p>
        </w:tc>
        <w:tc>
          <w:tcPr>
            <w:tcW w:w="2747" w:type="dxa"/>
          </w:tcPr>
          <w:p>
            <w:r>
              <w:rPr>
                <w:rFonts w:hint="eastAsia"/>
              </w:rPr>
              <w:t>北京（96.4%）、东部（2.4%）、中部（0.6%）、西部（0.6%）</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5.单位</w:t>
            </w:r>
            <w:r>
              <w:rPr>
                <w:rFonts w:hint="eastAsia"/>
              </w:rPr>
              <w:t>类型</w:t>
            </w:r>
          </w:p>
        </w:tc>
        <w:tc>
          <w:tcPr>
            <w:tcW w:w="2281" w:type="dxa"/>
          </w:tcPr>
          <w:p>
            <w:r>
              <w:rPr>
                <w:rFonts w:hint="eastAsia"/>
              </w:rPr>
              <w:t>其他</w:t>
            </w:r>
            <w:r>
              <w:t>（</w:t>
            </w:r>
            <w:r>
              <w:rPr>
                <w:rFonts w:hint="eastAsia"/>
              </w:rPr>
              <w:t>68.8</w:t>
            </w:r>
            <w:r>
              <w:t>%）</w:t>
            </w:r>
            <w:r>
              <w:rPr>
                <w:rFonts w:hint="eastAsia"/>
              </w:rPr>
              <w:t>、</w:t>
            </w:r>
            <w:r>
              <w:t>事业</w:t>
            </w:r>
            <w:r>
              <w:rPr>
                <w:rFonts w:hint="eastAsia"/>
              </w:rPr>
              <w:t>单位（25.0</w:t>
            </w:r>
            <w:r>
              <w:t>%</w:t>
            </w:r>
            <w:r>
              <w:rPr>
                <w:rFonts w:hint="eastAsia"/>
              </w:rPr>
              <w:t>）、</w:t>
            </w:r>
            <w:r>
              <w:t>民营</w:t>
            </w:r>
            <w:r>
              <w:rPr>
                <w:rFonts w:hint="eastAsia"/>
              </w:rPr>
              <w:t>/私营</w:t>
            </w:r>
            <w:r>
              <w:t>企业（</w:t>
            </w:r>
            <w:r>
              <w:rPr>
                <w:rFonts w:hint="eastAsia"/>
              </w:rPr>
              <w:t>6.3</w:t>
            </w:r>
            <w:r>
              <w:t>%）</w:t>
            </w:r>
          </w:p>
        </w:tc>
        <w:tc>
          <w:tcPr>
            <w:tcW w:w="2491" w:type="dxa"/>
          </w:tcPr>
          <w:p>
            <w:r>
              <w:t>民营</w:t>
            </w:r>
            <w:r>
              <w:rPr>
                <w:rFonts w:hint="eastAsia"/>
              </w:rPr>
              <w:t>/私营</w:t>
            </w:r>
            <w:r>
              <w:t>企业（</w:t>
            </w:r>
            <w:r>
              <w:rPr>
                <w:rFonts w:hint="eastAsia"/>
              </w:rPr>
              <w:t>44.4</w:t>
            </w:r>
            <w:r>
              <w:t>%）</w:t>
            </w:r>
            <w:r>
              <w:rPr>
                <w:rFonts w:hint="eastAsia"/>
              </w:rPr>
              <w:t>其他</w:t>
            </w:r>
            <w:r>
              <w:t>（</w:t>
            </w:r>
            <w:r>
              <w:rPr>
                <w:rFonts w:hint="eastAsia"/>
              </w:rPr>
              <w:t>23.4</w:t>
            </w:r>
            <w:r>
              <w:t>%）</w:t>
            </w:r>
            <w:r>
              <w:rPr>
                <w:rFonts w:hint="eastAsia"/>
              </w:rPr>
              <w:t>、</w:t>
            </w:r>
            <w:r>
              <w:t>事业</w:t>
            </w:r>
            <w:r>
              <w:rPr>
                <w:rFonts w:hint="eastAsia"/>
              </w:rPr>
              <w:t>单位（19.4</w:t>
            </w:r>
            <w:r>
              <w:t>%</w:t>
            </w:r>
            <w:r>
              <w:rPr>
                <w:rFonts w:hint="eastAsia"/>
              </w:rPr>
              <w:t>）</w:t>
            </w:r>
          </w:p>
        </w:tc>
        <w:tc>
          <w:tcPr>
            <w:tcW w:w="2641" w:type="dxa"/>
          </w:tcPr>
          <w:p>
            <w:r>
              <w:rPr>
                <w:rFonts w:hint="eastAsia"/>
              </w:rPr>
              <w:t>事业单位</w:t>
            </w:r>
            <w:r>
              <w:t>（</w:t>
            </w:r>
            <w:r>
              <w:rPr>
                <w:rFonts w:hint="eastAsia"/>
              </w:rPr>
              <w:t>53.6</w:t>
            </w:r>
            <w:r>
              <w:t>%）</w:t>
            </w:r>
            <w:r>
              <w:rPr>
                <w:rFonts w:hint="eastAsia"/>
              </w:rPr>
              <w:t>、民营/私营</w:t>
            </w:r>
            <w:r>
              <w:t>企业（</w:t>
            </w:r>
            <w:r>
              <w:rPr>
                <w:rFonts w:hint="eastAsia"/>
              </w:rPr>
              <w:t>28.6</w:t>
            </w:r>
            <w:r>
              <w:t>%）</w:t>
            </w:r>
            <w:r>
              <w:rPr>
                <w:rFonts w:hint="eastAsia"/>
              </w:rPr>
              <w:t>、</w:t>
            </w:r>
            <w:r>
              <w:t>其他（</w:t>
            </w:r>
            <w:r>
              <w:rPr>
                <w:rFonts w:hint="eastAsia"/>
              </w:rPr>
              <w:t>17.9</w:t>
            </w:r>
            <w:r>
              <w:t>%）</w:t>
            </w:r>
          </w:p>
        </w:tc>
        <w:tc>
          <w:tcPr>
            <w:tcW w:w="2747" w:type="dxa"/>
          </w:tcPr>
          <w:p>
            <w:r>
              <w:rPr>
                <w:rFonts w:hint="eastAsia"/>
              </w:rPr>
              <w:t>民营/私营企业（38.1%）、其他（26.8%）、事业单位（25.6%）</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6.</w:t>
            </w:r>
            <w:r>
              <w:rPr>
                <w:rFonts w:hint="eastAsia"/>
              </w:rPr>
              <w:t>就业行业</w:t>
            </w:r>
          </w:p>
        </w:tc>
        <w:tc>
          <w:tcPr>
            <w:tcW w:w="2281" w:type="dxa"/>
          </w:tcPr>
          <w:p>
            <w:r>
              <w:rPr>
                <w:rFonts w:hint="eastAsia"/>
              </w:rPr>
              <w:t>文化</w:t>
            </w:r>
            <w:r>
              <w:t>、体育和娱乐业（</w:t>
            </w:r>
            <w:r>
              <w:rPr>
                <w:rFonts w:hint="eastAsia"/>
              </w:rPr>
              <w:t>75.0</w:t>
            </w:r>
            <w:r>
              <w:t>%）</w:t>
            </w:r>
            <w:r>
              <w:rPr>
                <w:rFonts w:hint="eastAsia"/>
              </w:rPr>
              <w:t>、</w:t>
            </w:r>
            <w:r>
              <w:t>其他行业</w:t>
            </w:r>
            <w:r>
              <w:rPr>
                <w:rFonts w:hint="eastAsia"/>
              </w:rPr>
              <w:t>（12.5</w:t>
            </w:r>
            <w:r>
              <w:t>%</w:t>
            </w:r>
            <w:r>
              <w:rPr>
                <w:rFonts w:hint="eastAsia"/>
              </w:rPr>
              <w:t>）、</w:t>
            </w:r>
            <w:r>
              <w:t>教育及科研行业（</w:t>
            </w:r>
            <w:r>
              <w:rPr>
                <w:rFonts w:hint="eastAsia"/>
              </w:rPr>
              <w:t>6.3</w:t>
            </w:r>
            <w:r>
              <w:t>%）</w:t>
            </w:r>
            <w:r>
              <w:rPr>
                <w:rFonts w:hint="eastAsia"/>
              </w:rPr>
              <w:t>、</w:t>
            </w:r>
            <w:r>
              <w:t>采矿</w:t>
            </w:r>
            <w:r>
              <w:rPr>
                <w:rFonts w:hint="eastAsia"/>
              </w:rPr>
              <w:t>/建筑/水电气</w:t>
            </w:r>
            <w:r>
              <w:t>业（</w:t>
            </w:r>
            <w:r>
              <w:rPr>
                <w:rFonts w:hint="eastAsia"/>
              </w:rPr>
              <w:t>6.3</w:t>
            </w:r>
            <w:r>
              <w:t>%）</w:t>
            </w:r>
          </w:p>
        </w:tc>
        <w:tc>
          <w:tcPr>
            <w:tcW w:w="2491" w:type="dxa"/>
          </w:tcPr>
          <w:p>
            <w:r>
              <w:rPr>
                <w:rFonts w:hint="eastAsia"/>
              </w:rPr>
              <w:t>文化</w:t>
            </w:r>
            <w:r>
              <w:t>、体育和娱乐业（</w:t>
            </w:r>
            <w:r>
              <w:rPr>
                <w:rFonts w:hint="eastAsia"/>
              </w:rPr>
              <w:t>79.0</w:t>
            </w:r>
            <w:r>
              <w:t>%）</w:t>
            </w:r>
            <w:r>
              <w:rPr>
                <w:rFonts w:hint="eastAsia"/>
              </w:rPr>
              <w:t>、</w:t>
            </w:r>
            <w:r>
              <w:t>其他行业（</w:t>
            </w:r>
            <w:r>
              <w:rPr>
                <w:rFonts w:hint="eastAsia"/>
              </w:rPr>
              <w:t>12.9</w:t>
            </w:r>
            <w:r>
              <w:t>%）</w:t>
            </w:r>
            <w:r>
              <w:rPr>
                <w:rFonts w:hint="eastAsia"/>
              </w:rPr>
              <w:t>、教育</w:t>
            </w:r>
            <w:r>
              <w:t>及科研行业（</w:t>
            </w:r>
            <w:r>
              <w:rPr>
                <w:rFonts w:hint="eastAsia"/>
              </w:rPr>
              <w:t>3.2</w:t>
            </w:r>
            <w:r>
              <w:t>%）</w:t>
            </w:r>
            <w:r>
              <w:rPr>
                <w:rFonts w:hint="eastAsia"/>
              </w:rPr>
              <w:t>、社会服务</w:t>
            </w:r>
            <w:r>
              <w:t>与管理行业（</w:t>
            </w:r>
            <w:r>
              <w:rPr>
                <w:rFonts w:hint="eastAsia"/>
              </w:rPr>
              <w:t>3.2</w:t>
            </w:r>
            <w:r>
              <w:t>%）</w:t>
            </w:r>
          </w:p>
        </w:tc>
        <w:tc>
          <w:tcPr>
            <w:tcW w:w="2641" w:type="dxa"/>
          </w:tcPr>
          <w:p>
            <w:r>
              <w:t>文化、体育和娱乐业（</w:t>
            </w:r>
            <w:r>
              <w:rPr>
                <w:rFonts w:hint="eastAsia"/>
              </w:rPr>
              <w:t>5</w:t>
            </w:r>
            <w:r>
              <w:t>3</w:t>
            </w:r>
            <w:r>
              <w:rPr>
                <w:rFonts w:hint="eastAsia"/>
              </w:rPr>
              <w:t>.6</w:t>
            </w:r>
            <w:r>
              <w:t>%）</w:t>
            </w:r>
            <w:r>
              <w:rPr>
                <w:rFonts w:hint="eastAsia"/>
              </w:rPr>
              <w:t>、教育</w:t>
            </w:r>
            <w:r>
              <w:t>及科研行业（</w:t>
            </w:r>
            <w:r>
              <w:rPr>
                <w:rFonts w:hint="eastAsia"/>
              </w:rPr>
              <w:t>42.9</w:t>
            </w:r>
            <w:r>
              <w:t>%）</w:t>
            </w:r>
            <w:r>
              <w:rPr>
                <w:rFonts w:hint="eastAsia"/>
              </w:rPr>
              <w:t>、其他</w:t>
            </w:r>
            <w:r>
              <w:t>行业（</w:t>
            </w:r>
            <w:r>
              <w:rPr>
                <w:rFonts w:hint="eastAsia"/>
              </w:rPr>
              <w:t>3.6</w:t>
            </w:r>
            <w:r>
              <w:t>%）</w:t>
            </w:r>
          </w:p>
        </w:tc>
        <w:tc>
          <w:tcPr>
            <w:tcW w:w="2747" w:type="dxa"/>
          </w:tcPr>
          <w:p>
            <w:r>
              <w:rPr>
                <w:rFonts w:hint="eastAsia"/>
              </w:rPr>
              <w:t>文化、体育和娱乐业（74.4%）、其他行业（11.3%）、教育及科研行业（10.1%）</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7.年薪</w:t>
            </w:r>
          </w:p>
        </w:tc>
        <w:tc>
          <w:tcPr>
            <w:tcW w:w="2281" w:type="dxa"/>
          </w:tcPr>
          <w:p>
            <w:r>
              <w:rPr>
                <w:rFonts w:hint="eastAsia"/>
              </w:rPr>
              <w:t>14.78万元</w:t>
            </w:r>
          </w:p>
        </w:tc>
        <w:tc>
          <w:tcPr>
            <w:tcW w:w="2491" w:type="dxa"/>
          </w:tcPr>
          <w:p>
            <w:r>
              <w:rPr>
                <w:rFonts w:hint="eastAsia"/>
              </w:rPr>
              <w:t>9.78万</w:t>
            </w:r>
            <w:r>
              <w:t>元</w:t>
            </w:r>
          </w:p>
        </w:tc>
        <w:tc>
          <w:tcPr>
            <w:tcW w:w="2641" w:type="dxa"/>
          </w:tcPr>
          <w:p>
            <w:r>
              <w:rPr>
                <w:rFonts w:hint="eastAsia"/>
              </w:rPr>
              <w:t>9.85万元</w:t>
            </w:r>
          </w:p>
        </w:tc>
        <w:tc>
          <w:tcPr>
            <w:tcW w:w="2747" w:type="dxa"/>
          </w:tcPr>
          <w:p>
            <w:r>
              <w:rPr>
                <w:rFonts w:hint="eastAsia"/>
              </w:rPr>
              <w:t>10.08万元</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8</w:t>
            </w:r>
            <w:r>
              <w:rPr>
                <w:rFonts w:hint="eastAsia"/>
              </w:rPr>
              <w:t>.福利保障</w:t>
            </w:r>
          </w:p>
        </w:tc>
        <w:tc>
          <w:tcPr>
            <w:tcW w:w="2281" w:type="dxa"/>
          </w:tcPr>
          <w:p>
            <w:r>
              <w:rPr>
                <w:rFonts w:hint="eastAsia"/>
              </w:rPr>
              <w:t>18.8</w:t>
            </w:r>
            <w:r>
              <w:t>%（</w:t>
            </w:r>
            <w:r>
              <w:rPr>
                <w:rFonts w:hint="eastAsia"/>
              </w:rPr>
              <w:t>有</w:t>
            </w:r>
            <w:r>
              <w:t>五险）</w:t>
            </w:r>
          </w:p>
          <w:p>
            <w:r>
              <w:rPr>
                <w:rFonts w:hint="eastAsia"/>
              </w:rPr>
              <w:t>18.8</w:t>
            </w:r>
            <w:r>
              <w:t>%（</w:t>
            </w:r>
            <w:r>
              <w:rPr>
                <w:rFonts w:hint="eastAsia"/>
              </w:rPr>
              <w:t>有</w:t>
            </w:r>
            <w:r>
              <w:t>公积金）</w:t>
            </w:r>
          </w:p>
        </w:tc>
        <w:tc>
          <w:tcPr>
            <w:tcW w:w="2491" w:type="dxa"/>
          </w:tcPr>
          <w:p>
            <w:r>
              <w:rPr>
                <w:rFonts w:hint="eastAsia"/>
              </w:rPr>
              <w:t>65.9</w:t>
            </w:r>
            <w:r>
              <w:t>%（</w:t>
            </w:r>
            <w:r>
              <w:rPr>
                <w:rFonts w:hint="eastAsia"/>
              </w:rPr>
              <w:t>有</w:t>
            </w:r>
            <w:r>
              <w:t>五险）</w:t>
            </w:r>
          </w:p>
          <w:p>
            <w:r>
              <w:t>56.0%（</w:t>
            </w:r>
            <w:r>
              <w:rPr>
                <w:rFonts w:hint="eastAsia"/>
              </w:rPr>
              <w:t>有</w:t>
            </w:r>
            <w:r>
              <w:t>公积金）</w:t>
            </w:r>
          </w:p>
        </w:tc>
        <w:tc>
          <w:tcPr>
            <w:tcW w:w="2641" w:type="dxa"/>
          </w:tcPr>
          <w:p>
            <w:r>
              <w:rPr>
                <w:rFonts w:hint="eastAsia"/>
              </w:rPr>
              <w:t>85.7</w:t>
            </w:r>
            <w:r>
              <w:t>%（</w:t>
            </w:r>
            <w:r>
              <w:rPr>
                <w:rFonts w:hint="eastAsia"/>
              </w:rPr>
              <w:t>有五险</w:t>
            </w:r>
            <w:r>
              <w:t>）</w:t>
            </w:r>
          </w:p>
          <w:p>
            <w:r>
              <w:t>78.6%（</w:t>
            </w:r>
            <w:r>
              <w:rPr>
                <w:rFonts w:hint="eastAsia"/>
              </w:rPr>
              <w:t>有</w:t>
            </w:r>
            <w:r>
              <w:t>公积金）</w:t>
            </w:r>
          </w:p>
        </w:tc>
        <w:tc>
          <w:tcPr>
            <w:tcW w:w="2747" w:type="dxa"/>
          </w:tcPr>
          <w:p>
            <w:pPr>
              <w:rPr>
                <w:szCs w:val="21"/>
              </w:rPr>
            </w:pPr>
            <w:r>
              <w:rPr>
                <w:rFonts w:hint="eastAsia"/>
                <w:szCs w:val="21"/>
              </w:rPr>
              <w:t>64.7%（有五险）</w:t>
            </w:r>
          </w:p>
          <w:p>
            <w:bookmarkStart w:id="280" w:name="PO_tb112"/>
            <w:bookmarkEnd w:id="280"/>
            <w:r>
              <w:rPr>
                <w:rFonts w:hint="eastAsia"/>
              </w:rPr>
              <w:t>56.2%（有公积金）</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9</w:t>
            </w:r>
            <w:r>
              <w:rPr>
                <w:rFonts w:hint="eastAsia"/>
              </w:rPr>
              <w:t>.</w:t>
            </w:r>
            <w:r>
              <w:rPr>
                <w:rFonts w:hint="eastAsia"/>
                <w:szCs w:val="21"/>
              </w:rPr>
              <w:t>发展前景</w:t>
            </w:r>
          </w:p>
        </w:tc>
        <w:tc>
          <w:tcPr>
            <w:tcW w:w="2281" w:type="dxa"/>
          </w:tcPr>
          <w:p>
            <w:r>
              <w:rPr>
                <w:rFonts w:hint="eastAsia"/>
              </w:rPr>
              <w:t>62.5</w:t>
            </w:r>
            <w:r>
              <w:t>%（</w:t>
            </w:r>
            <w:r>
              <w:rPr>
                <w:rFonts w:hint="eastAsia"/>
              </w:rPr>
              <w:t>发展空间</w:t>
            </w:r>
            <w:r>
              <w:t>）</w:t>
            </w:r>
          </w:p>
          <w:p>
            <w:r>
              <w:rPr>
                <w:rFonts w:hint="eastAsia"/>
              </w:rPr>
              <w:t>6</w:t>
            </w:r>
            <w:r>
              <w:t>8.8%</w:t>
            </w:r>
            <w:r>
              <w:rPr>
                <w:rFonts w:hint="eastAsia"/>
              </w:rPr>
              <w:t>（发展</w:t>
            </w:r>
            <w:r>
              <w:t>路径</w:t>
            </w:r>
            <w:r>
              <w:rPr>
                <w:rFonts w:hint="eastAsia"/>
              </w:rPr>
              <w:t>）</w:t>
            </w:r>
          </w:p>
        </w:tc>
        <w:tc>
          <w:tcPr>
            <w:tcW w:w="2491" w:type="dxa"/>
          </w:tcPr>
          <w:p>
            <w:r>
              <w:rPr>
                <w:rFonts w:hint="eastAsia"/>
              </w:rPr>
              <w:t>52.8</w:t>
            </w:r>
            <w:r>
              <w:t>%（</w:t>
            </w:r>
            <w:r>
              <w:rPr>
                <w:rFonts w:hint="eastAsia"/>
              </w:rPr>
              <w:t>发展空间</w:t>
            </w:r>
            <w:r>
              <w:t>）</w:t>
            </w:r>
          </w:p>
          <w:p>
            <w:r>
              <w:t>62.8%（</w:t>
            </w:r>
            <w:r>
              <w:rPr>
                <w:rFonts w:hint="eastAsia"/>
              </w:rPr>
              <w:t>发展</w:t>
            </w:r>
            <w:r>
              <w:t>路径）</w:t>
            </w:r>
          </w:p>
        </w:tc>
        <w:tc>
          <w:tcPr>
            <w:tcW w:w="2641" w:type="dxa"/>
          </w:tcPr>
          <w:p>
            <w:r>
              <w:rPr>
                <w:rFonts w:hint="eastAsia"/>
              </w:rPr>
              <w:t>64.3</w:t>
            </w:r>
            <w:r>
              <w:t>%（</w:t>
            </w:r>
            <w:r>
              <w:rPr>
                <w:rFonts w:hint="eastAsia"/>
              </w:rPr>
              <w:t>发展空间</w:t>
            </w:r>
            <w:r>
              <w:t>）</w:t>
            </w:r>
          </w:p>
          <w:p>
            <w:r>
              <w:t>82.2%（</w:t>
            </w:r>
            <w:r>
              <w:rPr>
                <w:rFonts w:hint="eastAsia"/>
              </w:rPr>
              <w:t>发展路径</w:t>
            </w:r>
            <w:r>
              <w:t>）</w:t>
            </w:r>
          </w:p>
        </w:tc>
        <w:tc>
          <w:tcPr>
            <w:tcW w:w="2747" w:type="dxa"/>
          </w:tcPr>
          <w:p>
            <w:pPr>
              <w:rPr>
                <w:szCs w:val="21"/>
              </w:rPr>
            </w:pPr>
            <w:r>
              <w:rPr>
                <w:rFonts w:hint="eastAsia"/>
                <w:szCs w:val="21"/>
              </w:rPr>
              <w:t>55.5%（发展空间）</w:t>
            </w:r>
          </w:p>
          <w:p>
            <w:bookmarkStart w:id="281" w:name="PO_tb122"/>
            <w:bookmarkEnd w:id="281"/>
            <w:r>
              <w:rPr>
                <w:rFonts w:hint="eastAsia"/>
              </w:rPr>
              <w:t>66.5%（发展路径）</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10</w:t>
            </w:r>
            <w:r>
              <w:rPr>
                <w:rFonts w:hint="eastAsia"/>
              </w:rPr>
              <w:t>.</w:t>
            </w:r>
            <w:r>
              <w:rPr>
                <w:rFonts w:hint="eastAsia"/>
                <w:szCs w:val="21"/>
              </w:rPr>
              <w:t>稳定性</w:t>
            </w:r>
          </w:p>
        </w:tc>
        <w:tc>
          <w:tcPr>
            <w:tcW w:w="2281" w:type="dxa"/>
          </w:tcPr>
          <w:p>
            <w:r>
              <w:rPr>
                <w:rFonts w:hint="eastAsia"/>
              </w:rPr>
              <w:t>25.1</w:t>
            </w:r>
            <w:r>
              <w:t>%（</w:t>
            </w:r>
            <w:r>
              <w:rPr>
                <w:rFonts w:hint="eastAsia"/>
              </w:rPr>
              <w:t>3年</w:t>
            </w:r>
            <w:r>
              <w:t>及以上）</w:t>
            </w:r>
          </w:p>
        </w:tc>
        <w:tc>
          <w:tcPr>
            <w:tcW w:w="2491" w:type="dxa"/>
          </w:tcPr>
          <w:p>
            <w:r>
              <w:t>19.4%（</w:t>
            </w:r>
            <w:r>
              <w:rPr>
                <w:rFonts w:hint="eastAsia"/>
              </w:rPr>
              <w:t>3年</w:t>
            </w:r>
            <w:r>
              <w:t>及以上）</w:t>
            </w:r>
          </w:p>
        </w:tc>
        <w:tc>
          <w:tcPr>
            <w:tcW w:w="2641" w:type="dxa"/>
          </w:tcPr>
          <w:p>
            <w:r>
              <w:rPr>
                <w:rFonts w:hint="eastAsia"/>
              </w:rPr>
              <w:t>32.1</w:t>
            </w:r>
            <w:r>
              <w:t>%（</w:t>
            </w:r>
            <w:r>
              <w:rPr>
                <w:rFonts w:hint="eastAsia"/>
              </w:rPr>
              <w:t>3年</w:t>
            </w:r>
            <w:r>
              <w:t>及以上）</w:t>
            </w:r>
          </w:p>
        </w:tc>
        <w:tc>
          <w:tcPr>
            <w:tcW w:w="2747" w:type="dxa"/>
          </w:tcPr>
          <w:p>
            <w:pPr>
              <w:rPr>
                <w:szCs w:val="21"/>
              </w:rPr>
            </w:pPr>
            <w:r>
              <w:rPr>
                <w:rFonts w:hint="eastAsia"/>
                <w:szCs w:val="21"/>
              </w:rPr>
              <w:t>22.0%（3年及以上）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11</w:t>
            </w:r>
            <w:r>
              <w:rPr>
                <w:rFonts w:hint="eastAsia"/>
              </w:rPr>
              <w:t>.人职匹配</w:t>
            </w:r>
          </w:p>
        </w:tc>
        <w:tc>
          <w:tcPr>
            <w:tcW w:w="2281" w:type="dxa"/>
          </w:tcPr>
          <w:p>
            <w:r>
              <w:rPr>
                <w:rFonts w:hint="eastAsia"/>
              </w:rPr>
              <w:t>81.3</w:t>
            </w:r>
            <w:r>
              <w:t>%（</w:t>
            </w:r>
            <w:r>
              <w:rPr>
                <w:rFonts w:hint="eastAsia"/>
              </w:rPr>
              <w:t>专业</w:t>
            </w:r>
            <w:r>
              <w:t>相关程度）</w:t>
            </w:r>
          </w:p>
          <w:p>
            <w:r>
              <w:rPr>
                <w:rFonts w:hint="eastAsia"/>
              </w:rPr>
              <w:t>93.8</w:t>
            </w:r>
            <w:r>
              <w:t>%（</w:t>
            </w:r>
            <w:r>
              <w:rPr>
                <w:rFonts w:hint="eastAsia"/>
              </w:rPr>
              <w:t>教育</w:t>
            </w:r>
            <w:r>
              <w:t>层次与工作适配情况）</w:t>
            </w:r>
          </w:p>
        </w:tc>
        <w:tc>
          <w:tcPr>
            <w:tcW w:w="2491" w:type="dxa"/>
          </w:tcPr>
          <w:p>
            <w:r>
              <w:rPr>
                <w:rFonts w:hint="eastAsia"/>
              </w:rPr>
              <w:t>88.8</w:t>
            </w:r>
            <w:r>
              <w:t>%（</w:t>
            </w:r>
            <w:r>
              <w:rPr>
                <w:rFonts w:hint="eastAsia"/>
              </w:rPr>
              <w:t>专业</w:t>
            </w:r>
            <w:r>
              <w:t>相关程度）</w:t>
            </w:r>
          </w:p>
          <w:p>
            <w:r>
              <w:rPr>
                <w:rFonts w:hint="eastAsia"/>
              </w:rPr>
              <w:t>96.8</w:t>
            </w:r>
            <w:r>
              <w:t>%</w:t>
            </w:r>
            <w:r>
              <w:rPr>
                <w:rFonts w:hint="eastAsia"/>
              </w:rPr>
              <w:t>（</w:t>
            </w:r>
            <w:r>
              <w:t>教育层次与工作适配情况</w:t>
            </w:r>
            <w:r>
              <w:rPr>
                <w:rFonts w:hint="eastAsia"/>
              </w:rPr>
              <w:t>）</w:t>
            </w:r>
          </w:p>
        </w:tc>
        <w:tc>
          <w:tcPr>
            <w:tcW w:w="2641" w:type="dxa"/>
          </w:tcPr>
          <w:p>
            <w:r>
              <w:rPr>
                <w:rFonts w:hint="eastAsia"/>
              </w:rPr>
              <w:t>92.8%</w:t>
            </w:r>
            <w:r>
              <w:t>（</w:t>
            </w:r>
            <w:r>
              <w:rPr>
                <w:rFonts w:hint="eastAsia"/>
              </w:rPr>
              <w:t>专业相关</w:t>
            </w:r>
            <w:r>
              <w:t>程度）</w:t>
            </w:r>
          </w:p>
          <w:p>
            <w:r>
              <w:rPr>
                <w:rFonts w:hint="eastAsia"/>
              </w:rPr>
              <w:t>100.0</w:t>
            </w:r>
            <w:r>
              <w:t>%（教育层次与工作适配情况）</w:t>
            </w:r>
          </w:p>
        </w:tc>
        <w:tc>
          <w:tcPr>
            <w:tcW w:w="2747" w:type="dxa"/>
          </w:tcPr>
          <w:p>
            <w:pPr>
              <w:rPr>
                <w:szCs w:val="21"/>
              </w:rPr>
            </w:pPr>
            <w:r>
              <w:rPr>
                <w:rFonts w:hint="eastAsia"/>
                <w:szCs w:val="21"/>
              </w:rPr>
              <w:t>88.2%（专业相关程度）</w:t>
            </w:r>
          </w:p>
          <w:p>
            <w:pPr>
              <w:rPr>
                <w:szCs w:val="21"/>
              </w:rPr>
            </w:pPr>
            <w:bookmarkStart w:id="282" w:name="PO_tb142"/>
            <w:bookmarkEnd w:id="282"/>
            <w:r>
              <w:rPr>
                <w:rFonts w:hint="eastAsia"/>
                <w:szCs w:val="21"/>
              </w:rPr>
              <w:t>97.0%（教育层次与工作适配情况）</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rPr>
                <w:rFonts w:hint="eastAsia"/>
              </w:rPr>
              <w:t>1</w:t>
            </w:r>
            <w:r>
              <w:t>2</w:t>
            </w:r>
            <w:r>
              <w:rPr>
                <w:rFonts w:hint="eastAsia"/>
              </w:rPr>
              <w:t>.</w:t>
            </w:r>
            <w:r>
              <w:rPr>
                <w:rFonts w:hint="eastAsia"/>
                <w:szCs w:val="21"/>
              </w:rPr>
              <w:t>工作与期望相符</w:t>
            </w:r>
          </w:p>
        </w:tc>
        <w:tc>
          <w:tcPr>
            <w:tcW w:w="2281" w:type="dxa"/>
          </w:tcPr>
          <w:p>
            <w:r>
              <w:t>43.8%</w:t>
            </w:r>
          </w:p>
        </w:tc>
        <w:tc>
          <w:tcPr>
            <w:tcW w:w="2491" w:type="dxa"/>
          </w:tcPr>
          <w:p>
            <w:r>
              <w:t>72.9%</w:t>
            </w:r>
          </w:p>
        </w:tc>
        <w:tc>
          <w:tcPr>
            <w:tcW w:w="2641" w:type="dxa"/>
          </w:tcPr>
          <w:p>
            <w:r>
              <w:rPr>
                <w:rFonts w:hint="eastAsia"/>
              </w:rPr>
              <w:t>78.6</w:t>
            </w:r>
            <w:r>
              <w:t>%</w:t>
            </w:r>
          </w:p>
        </w:tc>
        <w:tc>
          <w:tcPr>
            <w:tcW w:w="2747" w:type="dxa"/>
          </w:tcPr>
          <w:p>
            <w:pPr>
              <w:rPr>
                <w:szCs w:val="21"/>
              </w:rPr>
            </w:pPr>
            <w:r>
              <w:rPr>
                <w:szCs w:val="21"/>
              </w:rPr>
              <w:t>71.1%</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restart"/>
            <w:vAlign w:val="center"/>
          </w:tcPr>
          <w:p>
            <w:r>
              <w:rPr>
                <w:rFonts w:hint="eastAsia"/>
              </w:rPr>
              <w:t>求职过程</w:t>
            </w:r>
          </w:p>
        </w:tc>
        <w:tc>
          <w:tcPr>
            <w:tcW w:w="2258" w:type="dxa"/>
          </w:tcPr>
          <w:p>
            <w:r>
              <w:rPr>
                <w:rFonts w:hint="eastAsia"/>
              </w:rPr>
              <w:t>1</w:t>
            </w:r>
            <w:r>
              <w:t>3.</w:t>
            </w:r>
            <w:r>
              <w:rPr>
                <w:rFonts w:hint="eastAsia"/>
              </w:rPr>
              <w:t>简历投递、面试机会及工作机会</w:t>
            </w:r>
          </w:p>
        </w:tc>
        <w:tc>
          <w:tcPr>
            <w:tcW w:w="2281" w:type="dxa"/>
          </w:tcPr>
          <w:p>
            <w:r>
              <w:t>14.08</w:t>
            </w:r>
            <w:r>
              <w:rPr>
                <w:rFonts w:hint="eastAsia"/>
              </w:rPr>
              <w:t>份</w:t>
            </w:r>
            <w:r>
              <w:t>\ 5.29</w:t>
            </w:r>
            <w:r>
              <w:rPr>
                <w:rFonts w:hint="eastAsia"/>
              </w:rPr>
              <w:t>份</w:t>
            </w:r>
            <w:r>
              <w:t>\ 2.23</w:t>
            </w:r>
            <w:r>
              <w:rPr>
                <w:rFonts w:hint="eastAsia"/>
              </w:rPr>
              <w:t>份</w:t>
            </w:r>
          </w:p>
        </w:tc>
        <w:tc>
          <w:tcPr>
            <w:tcW w:w="2491" w:type="dxa"/>
          </w:tcPr>
          <w:p>
            <w:r>
              <w:t>16.93</w:t>
            </w:r>
            <w:r>
              <w:rPr>
                <w:rFonts w:hint="eastAsia"/>
              </w:rPr>
              <w:t>份</w:t>
            </w:r>
            <w:r>
              <w:t>\ 6.25</w:t>
            </w:r>
            <w:r>
              <w:rPr>
                <w:rFonts w:hint="eastAsia"/>
              </w:rPr>
              <w:t>份</w:t>
            </w:r>
            <w:r>
              <w:t>\ 2.90</w:t>
            </w:r>
            <w:r>
              <w:rPr>
                <w:rFonts w:hint="eastAsia"/>
              </w:rPr>
              <w:t>份</w:t>
            </w:r>
          </w:p>
        </w:tc>
        <w:tc>
          <w:tcPr>
            <w:tcW w:w="2641" w:type="dxa"/>
          </w:tcPr>
          <w:p>
            <w:r>
              <w:t>7.32</w:t>
            </w:r>
            <w:r>
              <w:rPr>
                <w:rFonts w:hint="eastAsia"/>
              </w:rPr>
              <w:t>份</w:t>
            </w:r>
            <w:r>
              <w:t>\ 4.37</w:t>
            </w:r>
            <w:r>
              <w:rPr>
                <w:rFonts w:hint="eastAsia"/>
              </w:rPr>
              <w:t>份</w:t>
            </w:r>
            <w:r>
              <w:t>\ 2.50</w:t>
            </w:r>
            <w:r>
              <w:rPr>
                <w:rFonts w:hint="eastAsia"/>
              </w:rPr>
              <w:t>份</w:t>
            </w:r>
          </w:p>
        </w:tc>
        <w:tc>
          <w:tcPr>
            <w:tcW w:w="2747" w:type="dxa"/>
          </w:tcPr>
          <w:p>
            <w:r>
              <w:rPr>
                <w:rFonts w:hint="eastAsia"/>
              </w:rPr>
              <w:t>14.96份/5.83份/2.77份</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14</w:t>
            </w:r>
            <w:r>
              <w:rPr>
                <w:rFonts w:hint="eastAsia"/>
              </w:rPr>
              <w:t>.求职周期</w:t>
            </w:r>
          </w:p>
        </w:tc>
        <w:tc>
          <w:tcPr>
            <w:tcW w:w="2281" w:type="dxa"/>
          </w:tcPr>
          <w:p>
            <w:r>
              <w:rPr>
                <w:rFonts w:hint="eastAsia"/>
              </w:rPr>
              <w:t>2.69个</w:t>
            </w:r>
            <w:r>
              <w:t>月</w:t>
            </w:r>
          </w:p>
        </w:tc>
        <w:tc>
          <w:tcPr>
            <w:tcW w:w="2491" w:type="dxa"/>
          </w:tcPr>
          <w:p>
            <w:r>
              <w:rPr>
                <w:rFonts w:hint="eastAsia"/>
              </w:rPr>
              <w:t>2.92个</w:t>
            </w:r>
            <w:r>
              <w:t>月</w:t>
            </w:r>
          </w:p>
        </w:tc>
        <w:tc>
          <w:tcPr>
            <w:tcW w:w="2641" w:type="dxa"/>
          </w:tcPr>
          <w:p>
            <w:r>
              <w:rPr>
                <w:rFonts w:hint="eastAsia"/>
              </w:rPr>
              <w:t>3.42个</w:t>
            </w:r>
            <w:r>
              <w:t>月</w:t>
            </w:r>
          </w:p>
        </w:tc>
        <w:tc>
          <w:tcPr>
            <w:tcW w:w="2747" w:type="dxa"/>
          </w:tcPr>
          <w:p>
            <w:r>
              <w:rPr>
                <w:rFonts w:hint="eastAsia"/>
              </w:rPr>
              <w:t>2.98个月</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15</w:t>
            </w:r>
            <w:r>
              <w:rPr>
                <w:rFonts w:hint="eastAsia"/>
              </w:rPr>
              <w:t>.收到第一份录取通知时间</w:t>
            </w:r>
          </w:p>
        </w:tc>
        <w:tc>
          <w:tcPr>
            <w:tcW w:w="2281" w:type="dxa"/>
          </w:tcPr>
          <w:p>
            <w:r>
              <w:rPr>
                <w:rFonts w:hint="eastAsia"/>
              </w:rPr>
              <w:t>均值：毕业前</w:t>
            </w:r>
            <w:r>
              <w:t>3.17</w:t>
            </w:r>
            <w:r>
              <w:rPr>
                <w:rFonts w:hint="eastAsia"/>
              </w:rPr>
              <w:t>个月</w:t>
            </w:r>
          </w:p>
          <w:p>
            <w:r>
              <w:rPr>
                <w:rFonts w:hint="eastAsia"/>
              </w:rPr>
              <w:t>众值：</w:t>
            </w:r>
            <w:r>
              <w:t>2016</w:t>
            </w:r>
            <w:r>
              <w:rPr>
                <w:rFonts w:hint="eastAsia"/>
              </w:rPr>
              <w:t>年</w:t>
            </w:r>
            <w:r>
              <w:t>5</w:t>
            </w:r>
            <w:r>
              <w:rPr>
                <w:rFonts w:hint="eastAsia"/>
              </w:rPr>
              <w:t>月</w:t>
            </w:r>
          </w:p>
        </w:tc>
        <w:tc>
          <w:tcPr>
            <w:tcW w:w="2491" w:type="dxa"/>
          </w:tcPr>
          <w:p>
            <w:r>
              <w:rPr>
                <w:rFonts w:hint="eastAsia"/>
              </w:rPr>
              <w:t>均值：毕业前</w:t>
            </w:r>
            <w:r>
              <w:t>3.98</w:t>
            </w:r>
            <w:r>
              <w:rPr>
                <w:rFonts w:hint="eastAsia"/>
              </w:rPr>
              <w:t>个月</w:t>
            </w:r>
          </w:p>
          <w:p>
            <w:r>
              <w:rPr>
                <w:rFonts w:hint="eastAsia"/>
              </w:rPr>
              <w:t>众值：</w:t>
            </w:r>
            <w:r>
              <w:t>2016</w:t>
            </w:r>
            <w:r>
              <w:rPr>
                <w:rFonts w:hint="eastAsia"/>
              </w:rPr>
              <w:t>年</w:t>
            </w:r>
            <w:r>
              <w:t>5</w:t>
            </w:r>
            <w:r>
              <w:rPr>
                <w:rFonts w:hint="eastAsia"/>
              </w:rPr>
              <w:t>月</w:t>
            </w:r>
          </w:p>
        </w:tc>
        <w:tc>
          <w:tcPr>
            <w:tcW w:w="2641" w:type="dxa"/>
          </w:tcPr>
          <w:p>
            <w:r>
              <w:rPr>
                <w:rFonts w:hint="eastAsia"/>
              </w:rPr>
              <w:t>均值：毕业前</w:t>
            </w:r>
            <w:r>
              <w:t>3.19</w:t>
            </w:r>
            <w:r>
              <w:rPr>
                <w:rFonts w:hint="eastAsia"/>
              </w:rPr>
              <w:t xml:space="preserve">个月 </w:t>
            </w:r>
          </w:p>
          <w:p>
            <w:r>
              <w:rPr>
                <w:rFonts w:hint="eastAsia"/>
              </w:rPr>
              <w:t>众值：</w:t>
            </w:r>
            <w:r>
              <w:t>2016</w:t>
            </w:r>
            <w:r>
              <w:rPr>
                <w:rFonts w:hint="eastAsia"/>
              </w:rPr>
              <w:t>年</w:t>
            </w:r>
            <w:r>
              <w:t>5</w:t>
            </w:r>
            <w:r>
              <w:rPr>
                <w:rFonts w:hint="eastAsia"/>
              </w:rPr>
              <w:t>月</w:t>
            </w:r>
          </w:p>
        </w:tc>
        <w:tc>
          <w:tcPr>
            <w:tcW w:w="2747" w:type="dxa"/>
          </w:tcPr>
          <w:p>
            <w:pPr>
              <w:rPr>
                <w:szCs w:val="21"/>
              </w:rPr>
            </w:pPr>
            <w:r>
              <w:rPr>
                <w:rFonts w:hint="eastAsia"/>
                <w:szCs w:val="21"/>
              </w:rPr>
              <w:t>均值：毕业前3.77个月</w:t>
            </w:r>
          </w:p>
          <w:p>
            <w:bookmarkStart w:id="283" w:name="PO_tb182"/>
            <w:bookmarkEnd w:id="283"/>
            <w:r>
              <w:rPr>
                <w:rFonts w:hint="eastAsia"/>
              </w:rPr>
              <w:t>众值：2016年5月</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t>16</w:t>
            </w:r>
            <w:r>
              <w:rPr>
                <w:rFonts w:hint="eastAsia"/>
              </w:rPr>
              <w:t>.求职花费</w:t>
            </w:r>
          </w:p>
        </w:tc>
        <w:tc>
          <w:tcPr>
            <w:tcW w:w="2281" w:type="dxa"/>
          </w:tcPr>
          <w:p>
            <w:pPr>
              <w:rPr>
                <w:szCs w:val="21"/>
              </w:rPr>
            </w:pPr>
            <w:r>
              <w:rPr>
                <w:rFonts w:hint="eastAsia"/>
                <w:szCs w:val="21"/>
              </w:rPr>
              <w:t>3518.33元</w:t>
            </w:r>
          </w:p>
        </w:tc>
        <w:tc>
          <w:tcPr>
            <w:tcW w:w="2491" w:type="dxa"/>
          </w:tcPr>
          <w:p>
            <w:pPr>
              <w:rPr>
                <w:szCs w:val="21"/>
              </w:rPr>
            </w:pPr>
            <w:r>
              <w:rPr>
                <w:rFonts w:hint="eastAsia"/>
                <w:szCs w:val="21"/>
              </w:rPr>
              <w:t>1481.34元</w:t>
            </w:r>
          </w:p>
        </w:tc>
        <w:tc>
          <w:tcPr>
            <w:tcW w:w="2641" w:type="dxa"/>
          </w:tcPr>
          <w:p>
            <w:pPr>
              <w:rPr>
                <w:szCs w:val="21"/>
              </w:rPr>
            </w:pPr>
            <w:r>
              <w:rPr>
                <w:rFonts w:hint="eastAsia"/>
                <w:szCs w:val="21"/>
              </w:rPr>
              <w:t>1922.96元</w:t>
            </w:r>
          </w:p>
        </w:tc>
        <w:tc>
          <w:tcPr>
            <w:tcW w:w="2747" w:type="dxa"/>
          </w:tcPr>
          <w:p>
            <w:r>
              <w:rPr>
                <w:rFonts w:hint="eastAsia"/>
              </w:rPr>
              <w:t>1719.04元</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pPr>
              <w:rPr>
                <w:szCs w:val="21"/>
              </w:rPr>
            </w:pPr>
          </w:p>
        </w:tc>
        <w:tc>
          <w:tcPr>
            <w:tcW w:w="684" w:type="dxa"/>
            <w:vMerge w:val="restart"/>
            <w:vAlign w:val="center"/>
          </w:tcPr>
          <w:p>
            <w:r>
              <w:rPr>
                <w:rFonts w:hint="eastAsia"/>
                <w:szCs w:val="21"/>
              </w:rPr>
              <w:t>专业培养及就业创业教育反馈</w:t>
            </w:r>
          </w:p>
        </w:tc>
        <w:tc>
          <w:tcPr>
            <w:tcW w:w="2258" w:type="dxa"/>
          </w:tcPr>
          <w:p>
            <w:pPr>
              <w:rPr>
                <w:szCs w:val="21"/>
              </w:rPr>
            </w:pPr>
            <w:r>
              <w:rPr>
                <w:szCs w:val="21"/>
              </w:rPr>
              <w:t>17</w:t>
            </w:r>
            <w:r>
              <w:rPr>
                <w:rFonts w:hint="eastAsia"/>
                <w:szCs w:val="21"/>
              </w:rPr>
              <w:t>.对本专业的态度</w:t>
            </w:r>
          </w:p>
        </w:tc>
        <w:tc>
          <w:tcPr>
            <w:tcW w:w="2281" w:type="dxa"/>
          </w:tcPr>
          <w:p>
            <w:pPr>
              <w:rPr>
                <w:szCs w:val="21"/>
              </w:rPr>
            </w:pPr>
            <w:r>
              <w:rPr>
                <w:rFonts w:hint="eastAsia"/>
                <w:szCs w:val="21"/>
              </w:rPr>
              <w:t>96.8</w:t>
            </w:r>
            <w:r>
              <w:rPr>
                <w:szCs w:val="21"/>
              </w:rPr>
              <w:t>%</w:t>
            </w:r>
          </w:p>
        </w:tc>
        <w:tc>
          <w:tcPr>
            <w:tcW w:w="2491" w:type="dxa"/>
          </w:tcPr>
          <w:p>
            <w:pPr>
              <w:rPr>
                <w:szCs w:val="21"/>
              </w:rPr>
            </w:pPr>
            <w:r>
              <w:rPr>
                <w:rFonts w:hint="eastAsia"/>
                <w:szCs w:val="21"/>
              </w:rPr>
              <w:t>88.9</w:t>
            </w:r>
            <w:r>
              <w:rPr>
                <w:szCs w:val="21"/>
              </w:rPr>
              <w:t>%</w:t>
            </w:r>
          </w:p>
        </w:tc>
        <w:tc>
          <w:tcPr>
            <w:tcW w:w="2641" w:type="dxa"/>
          </w:tcPr>
          <w:p>
            <w:pPr>
              <w:rPr>
                <w:szCs w:val="21"/>
              </w:rPr>
            </w:pPr>
            <w:r>
              <w:rPr>
                <w:rFonts w:hint="eastAsia"/>
                <w:szCs w:val="21"/>
              </w:rPr>
              <w:t>100.0</w:t>
            </w:r>
            <w:r>
              <w:rPr>
                <w:szCs w:val="21"/>
              </w:rPr>
              <w:t>%</w:t>
            </w:r>
          </w:p>
        </w:tc>
        <w:tc>
          <w:tcPr>
            <w:tcW w:w="2747" w:type="dxa"/>
          </w:tcPr>
          <w:p>
            <w:r>
              <w:t>91.3%</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18</w:t>
            </w:r>
            <w:r>
              <w:rPr>
                <w:rFonts w:hint="eastAsia"/>
                <w:szCs w:val="21"/>
              </w:rPr>
              <w:t>.从事本专业相关工作的意愿</w:t>
            </w:r>
          </w:p>
        </w:tc>
        <w:tc>
          <w:tcPr>
            <w:tcW w:w="2281" w:type="dxa"/>
          </w:tcPr>
          <w:p>
            <w:pPr>
              <w:rPr>
                <w:szCs w:val="21"/>
              </w:rPr>
            </w:pPr>
            <w:r>
              <w:rPr>
                <w:rFonts w:hint="eastAsia"/>
                <w:szCs w:val="21"/>
              </w:rPr>
              <w:t>96.8</w:t>
            </w:r>
            <w:r>
              <w:rPr>
                <w:szCs w:val="21"/>
              </w:rPr>
              <w:t>%</w:t>
            </w:r>
          </w:p>
        </w:tc>
        <w:tc>
          <w:tcPr>
            <w:tcW w:w="2491" w:type="dxa"/>
          </w:tcPr>
          <w:p>
            <w:pPr>
              <w:rPr>
                <w:szCs w:val="21"/>
              </w:rPr>
            </w:pPr>
            <w:r>
              <w:rPr>
                <w:szCs w:val="21"/>
              </w:rPr>
              <w:t>90.7%</w:t>
            </w:r>
          </w:p>
        </w:tc>
        <w:tc>
          <w:tcPr>
            <w:tcW w:w="2641" w:type="dxa"/>
          </w:tcPr>
          <w:p>
            <w:pPr>
              <w:rPr>
                <w:szCs w:val="21"/>
              </w:rPr>
            </w:pPr>
            <w:r>
              <w:rPr>
                <w:rFonts w:hint="eastAsia"/>
                <w:szCs w:val="21"/>
              </w:rPr>
              <w:t>100.0%</w:t>
            </w:r>
          </w:p>
        </w:tc>
        <w:tc>
          <w:tcPr>
            <w:tcW w:w="2747" w:type="dxa"/>
          </w:tcPr>
          <w:p>
            <w:r>
              <w:t>92.6%</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19</w:t>
            </w:r>
            <w:r>
              <w:rPr>
                <w:rFonts w:hint="eastAsia"/>
                <w:szCs w:val="21"/>
              </w:rPr>
              <w:t>.本专业课程设置评价</w:t>
            </w:r>
          </w:p>
        </w:tc>
        <w:tc>
          <w:tcPr>
            <w:tcW w:w="2281" w:type="dxa"/>
          </w:tcPr>
          <w:p>
            <w:pPr>
              <w:rPr>
                <w:szCs w:val="21"/>
              </w:rPr>
            </w:pPr>
            <w:r>
              <w:rPr>
                <w:rFonts w:hint="eastAsia"/>
                <w:szCs w:val="21"/>
              </w:rPr>
              <w:t>93.5</w:t>
            </w:r>
            <w:r>
              <w:rPr>
                <w:szCs w:val="21"/>
              </w:rPr>
              <w:t>%</w:t>
            </w:r>
          </w:p>
        </w:tc>
        <w:tc>
          <w:tcPr>
            <w:tcW w:w="2491" w:type="dxa"/>
          </w:tcPr>
          <w:p>
            <w:pPr>
              <w:rPr>
                <w:szCs w:val="21"/>
              </w:rPr>
            </w:pPr>
            <w:r>
              <w:rPr>
                <w:rFonts w:hint="eastAsia"/>
                <w:szCs w:val="21"/>
              </w:rPr>
              <w:t>84.9</w:t>
            </w:r>
            <w:r>
              <w:rPr>
                <w:szCs w:val="21"/>
              </w:rPr>
              <w:t>%</w:t>
            </w:r>
          </w:p>
        </w:tc>
        <w:tc>
          <w:tcPr>
            <w:tcW w:w="2641" w:type="dxa"/>
          </w:tcPr>
          <w:p>
            <w:pPr>
              <w:rPr>
                <w:szCs w:val="21"/>
              </w:rPr>
            </w:pPr>
            <w:r>
              <w:rPr>
                <w:rFonts w:hint="eastAsia"/>
                <w:szCs w:val="21"/>
              </w:rPr>
              <w:t>88.1%</w:t>
            </w:r>
          </w:p>
        </w:tc>
        <w:tc>
          <w:tcPr>
            <w:tcW w:w="2747" w:type="dxa"/>
          </w:tcPr>
          <w:p>
            <w:r>
              <w:t>86.3%</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20</w:t>
            </w:r>
            <w:r>
              <w:rPr>
                <w:rFonts w:hint="eastAsia"/>
                <w:szCs w:val="21"/>
              </w:rPr>
              <w:t>.本专业教师授课水平评价</w:t>
            </w:r>
          </w:p>
        </w:tc>
        <w:tc>
          <w:tcPr>
            <w:tcW w:w="2281" w:type="dxa"/>
          </w:tcPr>
          <w:p>
            <w:pPr>
              <w:rPr>
                <w:szCs w:val="21"/>
              </w:rPr>
            </w:pPr>
            <w:r>
              <w:rPr>
                <w:rFonts w:hint="eastAsia"/>
                <w:szCs w:val="21"/>
              </w:rPr>
              <w:t>100.0</w:t>
            </w:r>
            <w:r>
              <w:rPr>
                <w:szCs w:val="21"/>
              </w:rPr>
              <w:t>%</w:t>
            </w:r>
          </w:p>
        </w:tc>
        <w:tc>
          <w:tcPr>
            <w:tcW w:w="2491" w:type="dxa"/>
          </w:tcPr>
          <w:p>
            <w:pPr>
              <w:rPr>
                <w:szCs w:val="21"/>
              </w:rPr>
            </w:pPr>
            <w:r>
              <w:rPr>
                <w:rFonts w:hint="eastAsia"/>
                <w:szCs w:val="21"/>
              </w:rPr>
              <w:t>92.5</w:t>
            </w:r>
            <w:r>
              <w:rPr>
                <w:szCs w:val="21"/>
              </w:rPr>
              <w:t>%</w:t>
            </w:r>
          </w:p>
        </w:tc>
        <w:tc>
          <w:tcPr>
            <w:tcW w:w="2641" w:type="dxa"/>
          </w:tcPr>
          <w:p>
            <w:pPr>
              <w:rPr>
                <w:szCs w:val="21"/>
              </w:rPr>
            </w:pPr>
            <w:r>
              <w:rPr>
                <w:rFonts w:hint="eastAsia"/>
                <w:szCs w:val="21"/>
              </w:rPr>
              <w:t>95.2</w:t>
            </w:r>
            <w:r>
              <w:rPr>
                <w:szCs w:val="21"/>
              </w:rPr>
              <w:t>%</w:t>
            </w:r>
          </w:p>
        </w:tc>
        <w:tc>
          <w:tcPr>
            <w:tcW w:w="2747" w:type="dxa"/>
          </w:tcPr>
          <w:p>
            <w:r>
              <w:t>93.6%</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r>
              <w:rPr>
                <w:szCs w:val="21"/>
              </w:rPr>
              <w:t>21</w:t>
            </w:r>
            <w:r>
              <w:rPr>
                <w:rFonts w:hint="eastAsia"/>
                <w:szCs w:val="21"/>
              </w:rPr>
              <w:t>.专业社会需求程度评价</w:t>
            </w:r>
          </w:p>
        </w:tc>
        <w:tc>
          <w:tcPr>
            <w:tcW w:w="2281" w:type="dxa"/>
          </w:tcPr>
          <w:p>
            <w:pPr>
              <w:rPr>
                <w:szCs w:val="21"/>
              </w:rPr>
            </w:pPr>
            <w:r>
              <w:rPr>
                <w:rFonts w:hint="eastAsia"/>
                <w:szCs w:val="21"/>
              </w:rPr>
              <w:t>61.3</w:t>
            </w:r>
            <w:r>
              <w:rPr>
                <w:szCs w:val="21"/>
              </w:rPr>
              <w:t>%</w:t>
            </w:r>
          </w:p>
        </w:tc>
        <w:tc>
          <w:tcPr>
            <w:tcW w:w="2491" w:type="dxa"/>
          </w:tcPr>
          <w:p>
            <w:pPr>
              <w:rPr>
                <w:szCs w:val="21"/>
              </w:rPr>
            </w:pPr>
            <w:r>
              <w:rPr>
                <w:rFonts w:hint="eastAsia"/>
                <w:szCs w:val="21"/>
              </w:rPr>
              <w:t>57.9</w:t>
            </w:r>
            <w:r>
              <w:rPr>
                <w:szCs w:val="21"/>
              </w:rPr>
              <w:t>%</w:t>
            </w:r>
          </w:p>
        </w:tc>
        <w:tc>
          <w:tcPr>
            <w:tcW w:w="2641" w:type="dxa"/>
          </w:tcPr>
          <w:p>
            <w:pPr>
              <w:rPr>
                <w:szCs w:val="21"/>
              </w:rPr>
            </w:pPr>
            <w:r>
              <w:rPr>
                <w:rFonts w:hint="eastAsia"/>
                <w:szCs w:val="21"/>
              </w:rPr>
              <w:t>45.2%</w:t>
            </w:r>
          </w:p>
        </w:tc>
        <w:tc>
          <w:tcPr>
            <w:tcW w:w="2747" w:type="dxa"/>
          </w:tcPr>
          <w:p>
            <w:r>
              <w:t>56.5%</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rFonts w:hint="eastAsia"/>
                <w:szCs w:val="21"/>
              </w:rPr>
              <w:t>2</w:t>
            </w:r>
            <w:r>
              <w:rPr>
                <w:szCs w:val="21"/>
              </w:rPr>
              <w:t>2.</w:t>
            </w:r>
            <w:r>
              <w:rPr>
                <w:rFonts w:hint="eastAsia"/>
                <w:szCs w:val="21"/>
              </w:rPr>
              <w:t>研究生</w:t>
            </w:r>
            <w:r>
              <w:rPr>
                <w:szCs w:val="21"/>
              </w:rPr>
              <w:t>培养质量评价</w:t>
            </w:r>
          </w:p>
        </w:tc>
        <w:tc>
          <w:tcPr>
            <w:tcW w:w="2281" w:type="dxa"/>
          </w:tcPr>
          <w:p>
            <w:pPr>
              <w:rPr>
                <w:szCs w:val="21"/>
              </w:rPr>
            </w:pPr>
            <w:r>
              <w:rPr>
                <w:rFonts w:hint="eastAsia"/>
                <w:szCs w:val="21"/>
              </w:rPr>
              <w:t>/</w:t>
            </w:r>
          </w:p>
        </w:tc>
        <w:tc>
          <w:tcPr>
            <w:tcW w:w="2491" w:type="dxa"/>
          </w:tcPr>
          <w:p>
            <w:pPr>
              <w:rPr>
                <w:szCs w:val="21"/>
              </w:rPr>
            </w:pPr>
            <w:r>
              <w:rPr>
                <w:rFonts w:hint="eastAsia"/>
                <w:szCs w:val="21"/>
              </w:rPr>
              <w:t>/</w:t>
            </w:r>
          </w:p>
        </w:tc>
        <w:tc>
          <w:tcPr>
            <w:tcW w:w="2641" w:type="dxa"/>
          </w:tcPr>
          <w:p>
            <w:pPr>
              <w:rPr>
                <w:szCs w:val="21"/>
              </w:rPr>
            </w:pPr>
            <w:r>
              <w:rPr>
                <w:rFonts w:hint="eastAsia"/>
                <w:szCs w:val="21"/>
              </w:rPr>
              <w:t>88.1%</w:t>
            </w:r>
          </w:p>
        </w:tc>
        <w:tc>
          <w:tcPr>
            <w:tcW w:w="2747" w:type="dxa"/>
          </w:tcPr>
          <w:p>
            <w:r>
              <w:t>88.1%</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rFonts w:hint="eastAsia"/>
                <w:szCs w:val="21"/>
              </w:rPr>
              <w:t>23.研究对导师</w:t>
            </w:r>
            <w:r>
              <w:rPr>
                <w:szCs w:val="21"/>
              </w:rPr>
              <w:t>的满意度</w:t>
            </w:r>
          </w:p>
        </w:tc>
        <w:tc>
          <w:tcPr>
            <w:tcW w:w="2281" w:type="dxa"/>
          </w:tcPr>
          <w:p>
            <w:pPr>
              <w:rPr>
                <w:szCs w:val="21"/>
              </w:rPr>
            </w:pPr>
            <w:r>
              <w:rPr>
                <w:rFonts w:hint="eastAsia"/>
                <w:szCs w:val="21"/>
              </w:rPr>
              <w:t>/</w:t>
            </w:r>
          </w:p>
        </w:tc>
        <w:tc>
          <w:tcPr>
            <w:tcW w:w="2491" w:type="dxa"/>
          </w:tcPr>
          <w:p>
            <w:pPr>
              <w:rPr>
                <w:szCs w:val="21"/>
              </w:rPr>
            </w:pPr>
            <w:r>
              <w:rPr>
                <w:rFonts w:hint="eastAsia"/>
                <w:szCs w:val="21"/>
              </w:rPr>
              <w:t>/</w:t>
            </w:r>
          </w:p>
        </w:tc>
        <w:tc>
          <w:tcPr>
            <w:tcW w:w="2641" w:type="dxa"/>
          </w:tcPr>
          <w:p>
            <w:pPr>
              <w:rPr>
                <w:szCs w:val="21"/>
              </w:rPr>
            </w:pPr>
            <w:r>
              <w:rPr>
                <w:rFonts w:hint="eastAsia"/>
                <w:szCs w:val="21"/>
              </w:rPr>
              <w:t>97.6%</w:t>
            </w:r>
          </w:p>
        </w:tc>
        <w:tc>
          <w:tcPr>
            <w:tcW w:w="2747" w:type="dxa"/>
          </w:tcPr>
          <w:p>
            <w:r>
              <w:t>97.6%</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24</w:t>
            </w:r>
            <w:r>
              <w:rPr>
                <w:rFonts w:hint="eastAsia"/>
                <w:szCs w:val="21"/>
              </w:rPr>
              <w:t>.就业教育及服务参与情况</w:t>
            </w:r>
          </w:p>
        </w:tc>
        <w:tc>
          <w:tcPr>
            <w:tcW w:w="2281" w:type="dxa"/>
          </w:tcPr>
          <w:p>
            <w:pPr>
              <w:rPr>
                <w:szCs w:val="21"/>
              </w:rPr>
            </w:pPr>
            <w:r>
              <w:rPr>
                <w:rFonts w:hint="eastAsia"/>
                <w:szCs w:val="21"/>
              </w:rPr>
              <w:t>就业</w:t>
            </w:r>
            <w:r>
              <w:rPr>
                <w:szCs w:val="21"/>
              </w:rPr>
              <w:t>指导课程</w:t>
            </w:r>
            <w:r>
              <w:rPr>
                <w:rFonts w:hint="eastAsia"/>
                <w:szCs w:val="21"/>
              </w:rPr>
              <w:t>（87.1</w:t>
            </w:r>
            <w:r>
              <w:rPr>
                <w:szCs w:val="21"/>
              </w:rPr>
              <w:t>%</w:t>
            </w:r>
            <w:r>
              <w:rPr>
                <w:rFonts w:hint="eastAsia"/>
                <w:szCs w:val="21"/>
              </w:rPr>
              <w:t>）、就业</w:t>
            </w:r>
            <w:r>
              <w:rPr>
                <w:szCs w:val="21"/>
              </w:rPr>
              <w:t>指导讲座、工作坊与活动（</w:t>
            </w:r>
            <w:r>
              <w:rPr>
                <w:rFonts w:hint="eastAsia"/>
                <w:szCs w:val="21"/>
              </w:rPr>
              <w:t>64.5</w:t>
            </w:r>
            <w:r>
              <w:rPr>
                <w:szCs w:val="21"/>
              </w:rPr>
              <w:t>%）</w:t>
            </w:r>
            <w:r>
              <w:rPr>
                <w:rFonts w:hint="eastAsia"/>
                <w:szCs w:val="21"/>
              </w:rPr>
              <w:t>、</w:t>
            </w:r>
            <w:r>
              <w:rPr>
                <w:szCs w:val="21"/>
              </w:rPr>
              <w:t>就业实习</w:t>
            </w:r>
            <w:r>
              <w:rPr>
                <w:rFonts w:hint="eastAsia"/>
                <w:szCs w:val="21"/>
              </w:rPr>
              <w:t>/实践</w:t>
            </w:r>
            <w:r>
              <w:rPr>
                <w:szCs w:val="21"/>
              </w:rPr>
              <w:t>（</w:t>
            </w:r>
            <w:r>
              <w:rPr>
                <w:rFonts w:hint="eastAsia"/>
                <w:szCs w:val="21"/>
              </w:rPr>
              <w:t>58.1</w:t>
            </w:r>
            <w:r>
              <w:rPr>
                <w:szCs w:val="21"/>
              </w:rPr>
              <w:t>%）</w:t>
            </w:r>
          </w:p>
        </w:tc>
        <w:tc>
          <w:tcPr>
            <w:tcW w:w="2491" w:type="dxa"/>
          </w:tcPr>
          <w:p>
            <w:pPr>
              <w:rPr>
                <w:szCs w:val="21"/>
              </w:rPr>
            </w:pPr>
            <w:r>
              <w:rPr>
                <w:rFonts w:hint="eastAsia"/>
                <w:szCs w:val="21"/>
              </w:rPr>
              <w:t>就业</w:t>
            </w:r>
            <w:r>
              <w:rPr>
                <w:szCs w:val="21"/>
              </w:rPr>
              <w:t>指导课程（</w:t>
            </w:r>
            <w:r>
              <w:rPr>
                <w:rFonts w:hint="eastAsia"/>
                <w:szCs w:val="21"/>
              </w:rPr>
              <w:t>96.0</w:t>
            </w:r>
            <w:r>
              <w:rPr>
                <w:szCs w:val="21"/>
              </w:rPr>
              <w:t>%）</w:t>
            </w:r>
            <w:r>
              <w:rPr>
                <w:rFonts w:hint="eastAsia"/>
                <w:szCs w:val="21"/>
              </w:rPr>
              <w:t>、就业</w:t>
            </w:r>
            <w:r>
              <w:rPr>
                <w:szCs w:val="21"/>
              </w:rPr>
              <w:t>信息服务（</w:t>
            </w:r>
            <w:r>
              <w:rPr>
                <w:rFonts w:hint="eastAsia"/>
                <w:szCs w:val="21"/>
              </w:rPr>
              <w:t>86.3</w:t>
            </w:r>
            <w:r>
              <w:rPr>
                <w:szCs w:val="21"/>
              </w:rPr>
              <w:t>%）</w:t>
            </w:r>
            <w:r>
              <w:rPr>
                <w:rFonts w:hint="eastAsia"/>
                <w:szCs w:val="21"/>
              </w:rPr>
              <w:t>、</w:t>
            </w:r>
            <w:r>
              <w:rPr>
                <w:szCs w:val="21"/>
              </w:rPr>
              <w:t>就</w:t>
            </w:r>
            <w:r>
              <w:rPr>
                <w:rFonts w:hint="eastAsia"/>
                <w:szCs w:val="21"/>
              </w:rPr>
              <w:t>业</w:t>
            </w:r>
            <w:r>
              <w:rPr>
                <w:szCs w:val="21"/>
              </w:rPr>
              <w:t>实习</w:t>
            </w:r>
            <w:r>
              <w:rPr>
                <w:rFonts w:hint="eastAsia"/>
                <w:szCs w:val="21"/>
              </w:rPr>
              <w:t>/实践</w:t>
            </w:r>
            <w:r>
              <w:rPr>
                <w:szCs w:val="21"/>
              </w:rPr>
              <w:t>（</w:t>
            </w:r>
            <w:r>
              <w:rPr>
                <w:rFonts w:hint="eastAsia"/>
                <w:szCs w:val="21"/>
              </w:rPr>
              <w:t>80.1</w:t>
            </w:r>
            <w:r>
              <w:rPr>
                <w:szCs w:val="21"/>
              </w:rPr>
              <w:t>%）</w:t>
            </w:r>
          </w:p>
        </w:tc>
        <w:tc>
          <w:tcPr>
            <w:tcW w:w="2641" w:type="dxa"/>
          </w:tcPr>
          <w:p>
            <w:pPr>
              <w:rPr>
                <w:szCs w:val="21"/>
              </w:rPr>
            </w:pPr>
            <w:r>
              <w:rPr>
                <w:szCs w:val="21"/>
              </w:rPr>
              <w:t>就业指导课程（</w:t>
            </w:r>
            <w:r>
              <w:rPr>
                <w:rFonts w:hint="eastAsia"/>
                <w:szCs w:val="21"/>
              </w:rPr>
              <w:t>92.9</w:t>
            </w:r>
            <w:r>
              <w:rPr>
                <w:szCs w:val="21"/>
              </w:rPr>
              <w:t>%）</w:t>
            </w:r>
            <w:r>
              <w:rPr>
                <w:rFonts w:hint="eastAsia"/>
                <w:szCs w:val="21"/>
              </w:rPr>
              <w:t>、就业信息</w:t>
            </w:r>
            <w:r>
              <w:rPr>
                <w:szCs w:val="21"/>
              </w:rPr>
              <w:t>服务</w:t>
            </w:r>
            <w:r>
              <w:rPr>
                <w:rFonts w:hint="eastAsia"/>
                <w:szCs w:val="21"/>
              </w:rPr>
              <w:t>（88.1</w:t>
            </w:r>
            <w:r>
              <w:rPr>
                <w:szCs w:val="21"/>
              </w:rPr>
              <w:t>%</w:t>
            </w:r>
            <w:r>
              <w:rPr>
                <w:rFonts w:hint="eastAsia"/>
                <w:szCs w:val="21"/>
              </w:rPr>
              <w:t>）、就业</w:t>
            </w:r>
            <w:r>
              <w:rPr>
                <w:szCs w:val="21"/>
              </w:rPr>
              <w:t>指导讲座、工作坊与活动（</w:t>
            </w:r>
            <w:r>
              <w:rPr>
                <w:rFonts w:hint="eastAsia"/>
                <w:szCs w:val="21"/>
              </w:rPr>
              <w:t>76.2</w:t>
            </w:r>
            <w:r>
              <w:rPr>
                <w:szCs w:val="21"/>
              </w:rPr>
              <w:t>%）</w:t>
            </w:r>
          </w:p>
        </w:tc>
        <w:tc>
          <w:tcPr>
            <w:tcW w:w="2747" w:type="dxa"/>
          </w:tcPr>
          <w:p>
            <w:r>
              <w:rPr>
                <w:rFonts w:hint="eastAsia"/>
              </w:rPr>
              <w:t>就业指导课程（94.6%）、就业信息服务（83.3%）、就业实习/实践（75.9%）</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25</w:t>
            </w:r>
            <w:r>
              <w:rPr>
                <w:rFonts w:hint="eastAsia"/>
                <w:szCs w:val="21"/>
              </w:rPr>
              <w:t>.就业教育及服务满意度情况</w:t>
            </w:r>
          </w:p>
        </w:tc>
        <w:tc>
          <w:tcPr>
            <w:tcW w:w="2281" w:type="dxa"/>
          </w:tcPr>
          <w:p>
            <w:pPr>
              <w:rPr>
                <w:szCs w:val="21"/>
              </w:rPr>
            </w:pPr>
            <w:r>
              <w:rPr>
                <w:rFonts w:hint="eastAsia"/>
                <w:szCs w:val="21"/>
              </w:rPr>
              <w:t>个体职业</w:t>
            </w:r>
            <w:r>
              <w:rPr>
                <w:szCs w:val="21"/>
              </w:rPr>
              <w:t>辅导、团体职业辅导、就业相关政策咨询</w:t>
            </w:r>
          </w:p>
        </w:tc>
        <w:tc>
          <w:tcPr>
            <w:tcW w:w="2491" w:type="dxa"/>
          </w:tcPr>
          <w:p>
            <w:pPr>
              <w:rPr>
                <w:szCs w:val="21"/>
              </w:rPr>
            </w:pPr>
            <w:r>
              <w:rPr>
                <w:rFonts w:hint="eastAsia"/>
                <w:szCs w:val="21"/>
              </w:rPr>
              <w:t>困难</w:t>
            </w:r>
            <w:r>
              <w:rPr>
                <w:szCs w:val="21"/>
              </w:rPr>
              <w:t>帮扶、个体职业指导、</w:t>
            </w:r>
            <w:r>
              <w:rPr>
                <w:rFonts w:hint="eastAsia"/>
                <w:szCs w:val="21"/>
              </w:rPr>
              <w:t>团体</w:t>
            </w:r>
            <w:r>
              <w:rPr>
                <w:szCs w:val="21"/>
              </w:rPr>
              <w:t>职业辅导</w:t>
            </w:r>
          </w:p>
        </w:tc>
        <w:tc>
          <w:tcPr>
            <w:tcW w:w="2641" w:type="dxa"/>
          </w:tcPr>
          <w:p>
            <w:pPr>
              <w:rPr>
                <w:szCs w:val="21"/>
              </w:rPr>
            </w:pPr>
            <w:r>
              <w:rPr>
                <w:szCs w:val="21"/>
              </w:rPr>
              <w:t>就业相关政策咨询</w:t>
            </w:r>
            <w:r>
              <w:rPr>
                <w:rFonts w:hint="eastAsia"/>
                <w:szCs w:val="21"/>
              </w:rPr>
              <w:t>、学校</w:t>
            </w:r>
            <w:r>
              <w:rPr>
                <w:szCs w:val="21"/>
              </w:rPr>
              <w:t>就业推荐</w:t>
            </w:r>
            <w:r>
              <w:rPr>
                <w:rFonts w:hint="eastAsia"/>
                <w:szCs w:val="21"/>
              </w:rPr>
              <w:t>、学院</w:t>
            </w:r>
            <w:r>
              <w:rPr>
                <w:szCs w:val="21"/>
              </w:rPr>
              <w:t>就业推荐</w:t>
            </w:r>
          </w:p>
        </w:tc>
        <w:tc>
          <w:tcPr>
            <w:tcW w:w="2747" w:type="dxa"/>
          </w:tcPr>
          <w:p>
            <w:r>
              <w:rPr>
                <w:rFonts w:hint="eastAsia"/>
              </w:rPr>
              <w:t>个体职业辅导、困难帮扶、团体职业辅导</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26</w:t>
            </w:r>
            <w:r>
              <w:rPr>
                <w:rFonts w:hint="eastAsia"/>
                <w:szCs w:val="21"/>
              </w:rPr>
              <w:t>.创业教育及服务参与情况</w:t>
            </w:r>
          </w:p>
        </w:tc>
        <w:tc>
          <w:tcPr>
            <w:tcW w:w="2281" w:type="dxa"/>
          </w:tcPr>
          <w:p>
            <w:r>
              <w:rPr>
                <w:rFonts w:hint="eastAsia"/>
              </w:rPr>
              <w:t>创业</w:t>
            </w:r>
            <w:r>
              <w:t>相关讲座（</w:t>
            </w:r>
            <w:r>
              <w:rPr>
                <w:rFonts w:hint="eastAsia"/>
              </w:rPr>
              <w:t>51.6</w:t>
            </w:r>
            <w:r>
              <w:t>%）</w:t>
            </w:r>
            <w:r>
              <w:rPr>
                <w:rFonts w:hint="eastAsia"/>
              </w:rPr>
              <w:t>、创业</w:t>
            </w:r>
            <w:r>
              <w:t>课程（</w:t>
            </w:r>
            <w:r>
              <w:rPr>
                <w:rFonts w:hint="eastAsia"/>
              </w:rPr>
              <w:t>35.5</w:t>
            </w:r>
            <w:r>
              <w:t>%）</w:t>
            </w:r>
            <w:r>
              <w:rPr>
                <w:rFonts w:hint="eastAsia"/>
              </w:rPr>
              <w:t>、</w:t>
            </w:r>
            <w:r>
              <w:t>创业类学生社团活动（</w:t>
            </w:r>
            <w:r>
              <w:rPr>
                <w:rFonts w:hint="eastAsia"/>
              </w:rPr>
              <w:t>29.0</w:t>
            </w:r>
            <w:r>
              <w:t>%）</w:t>
            </w:r>
          </w:p>
        </w:tc>
        <w:tc>
          <w:tcPr>
            <w:tcW w:w="2491" w:type="dxa"/>
          </w:tcPr>
          <w:p>
            <w:r>
              <w:rPr>
                <w:rFonts w:hint="eastAsia"/>
              </w:rPr>
              <w:t>创业</w:t>
            </w:r>
            <w:r>
              <w:t>相关</w:t>
            </w:r>
            <w:r>
              <w:rPr>
                <w:rFonts w:hint="eastAsia"/>
              </w:rPr>
              <w:t>讲座</w:t>
            </w:r>
            <w:r>
              <w:t>（</w:t>
            </w:r>
            <w:r>
              <w:rPr>
                <w:rFonts w:hint="eastAsia"/>
              </w:rPr>
              <w:t>58.8</w:t>
            </w:r>
            <w:r>
              <w:t>%）</w:t>
            </w:r>
            <w:r>
              <w:rPr>
                <w:rFonts w:hint="eastAsia"/>
              </w:rPr>
              <w:t>、创业</w:t>
            </w:r>
            <w:r>
              <w:t>课程（</w:t>
            </w:r>
            <w:r>
              <w:rPr>
                <w:rFonts w:hint="eastAsia"/>
              </w:rPr>
              <w:t>50.0</w:t>
            </w:r>
            <w:r>
              <w:t>%）</w:t>
            </w:r>
            <w:r>
              <w:rPr>
                <w:rFonts w:hint="eastAsia"/>
              </w:rPr>
              <w:t>、</w:t>
            </w:r>
            <w:r>
              <w:t>与创业者交流（</w:t>
            </w:r>
            <w:r>
              <w:rPr>
                <w:rFonts w:hint="eastAsia"/>
              </w:rPr>
              <w:t>31.0</w:t>
            </w:r>
            <w:r>
              <w:t>%）</w:t>
            </w:r>
          </w:p>
        </w:tc>
        <w:tc>
          <w:tcPr>
            <w:tcW w:w="2641" w:type="dxa"/>
          </w:tcPr>
          <w:p>
            <w:r>
              <w:rPr>
                <w:rFonts w:hint="eastAsia"/>
              </w:rPr>
              <w:t>创业</w:t>
            </w:r>
            <w:r>
              <w:t>相关讲座（</w:t>
            </w:r>
            <w:r>
              <w:rPr>
                <w:rFonts w:hint="eastAsia"/>
              </w:rPr>
              <w:t>59.5</w:t>
            </w:r>
            <w:r>
              <w:t>%）</w:t>
            </w:r>
            <w:r>
              <w:rPr>
                <w:rFonts w:hint="eastAsia"/>
              </w:rPr>
              <w:t>、</w:t>
            </w:r>
            <w:r>
              <w:t>创业</w:t>
            </w:r>
            <w:r>
              <w:rPr>
                <w:rFonts w:hint="eastAsia"/>
              </w:rPr>
              <w:t>课程</w:t>
            </w:r>
            <w:r>
              <w:t>（</w:t>
            </w:r>
            <w:r>
              <w:rPr>
                <w:rFonts w:hint="eastAsia"/>
              </w:rPr>
              <w:t>45.2</w:t>
            </w:r>
            <w:r>
              <w:t>%）</w:t>
            </w:r>
            <w:r>
              <w:rPr>
                <w:rFonts w:hint="eastAsia"/>
              </w:rPr>
              <w:t>、与创业</w:t>
            </w:r>
            <w:r>
              <w:t>者交流（</w:t>
            </w:r>
            <w:r>
              <w:rPr>
                <w:rFonts w:hint="eastAsia"/>
              </w:rPr>
              <w:t>33.3</w:t>
            </w:r>
            <w:r>
              <w:t>%）</w:t>
            </w:r>
          </w:p>
        </w:tc>
        <w:tc>
          <w:tcPr>
            <w:tcW w:w="2747" w:type="dxa"/>
          </w:tcPr>
          <w:p>
            <w:r>
              <w:rPr>
                <w:rFonts w:hint="eastAsia"/>
              </w:rPr>
              <w:t>创业相关讲座（58.2%）、创业课程（47.8%）、与创业者交流（30.4%）</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27</w:t>
            </w:r>
            <w:r>
              <w:rPr>
                <w:rFonts w:hint="eastAsia"/>
                <w:szCs w:val="21"/>
              </w:rPr>
              <w:t>.创业教育及服务满意度情况</w:t>
            </w:r>
          </w:p>
        </w:tc>
        <w:tc>
          <w:tcPr>
            <w:tcW w:w="2281" w:type="dxa"/>
          </w:tcPr>
          <w:p>
            <w:pPr>
              <w:jc w:val="left"/>
              <w:rPr>
                <w:szCs w:val="21"/>
              </w:rPr>
            </w:pPr>
            <w:r>
              <w:rPr>
                <w:rFonts w:hint="eastAsia"/>
                <w:szCs w:val="21"/>
              </w:rPr>
              <w:t>参观</w:t>
            </w:r>
            <w:r>
              <w:rPr>
                <w:szCs w:val="21"/>
              </w:rPr>
              <w:t>创业企业、创业计划大赛、创业类学生社团活动</w:t>
            </w:r>
          </w:p>
        </w:tc>
        <w:tc>
          <w:tcPr>
            <w:tcW w:w="2491" w:type="dxa"/>
          </w:tcPr>
          <w:p>
            <w:pPr>
              <w:jc w:val="left"/>
              <w:rPr>
                <w:szCs w:val="21"/>
              </w:rPr>
            </w:pPr>
            <w:r>
              <w:rPr>
                <w:szCs w:val="21"/>
              </w:rPr>
              <w:t>参观创业企业、</w:t>
            </w:r>
            <w:r>
              <w:rPr>
                <w:rFonts w:hint="eastAsia"/>
                <w:szCs w:val="21"/>
              </w:rPr>
              <w:t>创业</w:t>
            </w:r>
            <w:r>
              <w:rPr>
                <w:szCs w:val="21"/>
              </w:rPr>
              <w:t>计划大赛、</w:t>
            </w:r>
            <w:r>
              <w:rPr>
                <w:rFonts w:hint="eastAsia"/>
                <w:szCs w:val="21"/>
              </w:rPr>
              <w:t>参与</w:t>
            </w:r>
            <w:r>
              <w:rPr>
                <w:szCs w:val="21"/>
              </w:rPr>
              <w:t>创业企业的实习项目、</w:t>
            </w:r>
            <w:r>
              <w:rPr>
                <w:rFonts w:hint="eastAsia"/>
                <w:szCs w:val="21"/>
              </w:rPr>
              <w:t>创业</w:t>
            </w:r>
            <w:r>
              <w:rPr>
                <w:szCs w:val="21"/>
              </w:rPr>
              <w:t>类学生社团活动</w:t>
            </w:r>
          </w:p>
        </w:tc>
        <w:tc>
          <w:tcPr>
            <w:tcW w:w="2641" w:type="dxa"/>
          </w:tcPr>
          <w:p>
            <w:pPr>
              <w:jc w:val="left"/>
              <w:rPr>
                <w:szCs w:val="21"/>
              </w:rPr>
            </w:pPr>
            <w:r>
              <w:rPr>
                <w:rFonts w:hint="eastAsia"/>
                <w:szCs w:val="21"/>
              </w:rPr>
              <w:t>创业类</w:t>
            </w:r>
            <w:r>
              <w:rPr>
                <w:szCs w:val="21"/>
              </w:rPr>
              <w:t>学生社团活动、</w:t>
            </w:r>
            <w:r>
              <w:rPr>
                <w:rFonts w:hint="eastAsia"/>
                <w:szCs w:val="21"/>
              </w:rPr>
              <w:t>参观</w:t>
            </w:r>
            <w:r>
              <w:rPr>
                <w:szCs w:val="21"/>
              </w:rPr>
              <w:t>创业企业、</w:t>
            </w:r>
            <w:r>
              <w:rPr>
                <w:rFonts w:hint="eastAsia"/>
                <w:szCs w:val="21"/>
              </w:rPr>
              <w:t>与</w:t>
            </w:r>
            <w:r>
              <w:rPr>
                <w:szCs w:val="21"/>
              </w:rPr>
              <w:t>创业者交流</w:t>
            </w:r>
          </w:p>
        </w:tc>
        <w:tc>
          <w:tcPr>
            <w:tcW w:w="2747" w:type="dxa"/>
          </w:tcPr>
          <w:p>
            <w:r>
              <w:rPr>
                <w:rFonts w:hint="eastAsia"/>
              </w:rPr>
              <w:t>参观创业企业、创业计划大赛、创业类学生社团活动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restart"/>
            <w:vAlign w:val="center"/>
          </w:tcPr>
          <w:p>
            <w:r>
              <w:rPr>
                <w:rFonts w:hint="eastAsia"/>
              </w:rPr>
              <w:t>自主创业</w:t>
            </w:r>
          </w:p>
        </w:tc>
        <w:tc>
          <w:tcPr>
            <w:tcW w:w="2258" w:type="dxa"/>
          </w:tcPr>
          <w:p>
            <w:pPr>
              <w:rPr>
                <w:szCs w:val="21"/>
              </w:rPr>
            </w:pPr>
            <w:r>
              <w:rPr>
                <w:szCs w:val="21"/>
              </w:rPr>
              <w:t>28.</w:t>
            </w:r>
            <w:r>
              <w:rPr>
                <w:rFonts w:hint="eastAsia"/>
                <w:szCs w:val="21"/>
              </w:rPr>
              <w:t>创业人数</w:t>
            </w:r>
          </w:p>
        </w:tc>
        <w:tc>
          <w:tcPr>
            <w:tcW w:w="2281" w:type="dxa"/>
          </w:tcPr>
          <w:p>
            <w:r>
              <w:rPr>
                <w:rFonts w:hint="eastAsia"/>
                <w:szCs w:val="21"/>
              </w:rPr>
              <w:t>/</w:t>
            </w:r>
          </w:p>
        </w:tc>
        <w:tc>
          <w:tcPr>
            <w:tcW w:w="2491" w:type="dxa"/>
          </w:tcPr>
          <w:p>
            <w:r>
              <w:rPr>
                <w:rFonts w:hint="eastAsia"/>
                <w:szCs w:val="21"/>
              </w:rPr>
              <w:t>/</w:t>
            </w:r>
          </w:p>
        </w:tc>
        <w:tc>
          <w:tcPr>
            <w:tcW w:w="2641" w:type="dxa"/>
          </w:tcPr>
          <w:p>
            <w:r>
              <w:rPr>
                <w:rFonts w:hint="eastAsia"/>
                <w:szCs w:val="21"/>
              </w:rPr>
              <w:t>/</w:t>
            </w:r>
          </w:p>
        </w:tc>
        <w:tc>
          <w:tcPr>
            <w:tcW w:w="2747" w:type="dxa"/>
          </w:tcPr>
          <w:p>
            <w:pPr>
              <w:rPr>
                <w:szCs w:val="21"/>
              </w:rPr>
            </w:pPr>
            <w:r>
              <w:rPr>
                <w:rFonts w:hint="eastAsia"/>
                <w:szCs w:val="21"/>
              </w:rPr>
              <w:t>16人</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29.</w:t>
            </w:r>
            <w:r>
              <w:rPr>
                <w:rFonts w:hint="eastAsia"/>
                <w:szCs w:val="21"/>
              </w:rPr>
              <w:t>创业地区</w:t>
            </w:r>
          </w:p>
        </w:tc>
        <w:tc>
          <w:tcPr>
            <w:tcW w:w="2281" w:type="dxa"/>
          </w:tcPr>
          <w:p>
            <w:r>
              <w:rPr>
                <w:rFonts w:hint="eastAsia"/>
                <w:szCs w:val="21"/>
              </w:rPr>
              <w:t>/</w:t>
            </w:r>
          </w:p>
        </w:tc>
        <w:tc>
          <w:tcPr>
            <w:tcW w:w="2491" w:type="dxa"/>
          </w:tcPr>
          <w:p>
            <w:r>
              <w:rPr>
                <w:rFonts w:hint="eastAsia"/>
                <w:szCs w:val="21"/>
              </w:rPr>
              <w:t>/</w:t>
            </w:r>
          </w:p>
        </w:tc>
        <w:tc>
          <w:tcPr>
            <w:tcW w:w="2641" w:type="dxa"/>
          </w:tcPr>
          <w:p>
            <w:r>
              <w:rPr>
                <w:rFonts w:hint="eastAsia"/>
                <w:szCs w:val="21"/>
              </w:rPr>
              <w:t>/</w:t>
            </w:r>
          </w:p>
        </w:tc>
        <w:tc>
          <w:tcPr>
            <w:tcW w:w="2747" w:type="dxa"/>
          </w:tcPr>
          <w:p>
            <w:pPr>
              <w:rPr>
                <w:szCs w:val="21"/>
              </w:rPr>
            </w:pPr>
            <w:r>
              <w:rPr>
                <w:rFonts w:hint="eastAsia"/>
                <w:szCs w:val="21"/>
              </w:rPr>
              <w:t>北京</w:t>
            </w:r>
            <w:r>
              <w:rPr>
                <w:szCs w:val="21"/>
              </w:rPr>
              <w:t>（</w:t>
            </w:r>
            <w:r>
              <w:rPr>
                <w:rFonts w:hint="eastAsia"/>
                <w:szCs w:val="21"/>
              </w:rPr>
              <w:t>93.8</w:t>
            </w:r>
            <w:r>
              <w:rPr>
                <w:szCs w:val="21"/>
              </w:rPr>
              <w:t>%）</w:t>
            </w:r>
            <w:r>
              <w:rPr>
                <w:rFonts w:hint="eastAsia"/>
                <w:szCs w:val="21"/>
              </w:rPr>
              <w:t>、东</w:t>
            </w:r>
            <w:r>
              <w:rPr>
                <w:szCs w:val="21"/>
              </w:rPr>
              <w:t>部（</w:t>
            </w:r>
            <w:r>
              <w:rPr>
                <w:rFonts w:hint="eastAsia"/>
                <w:szCs w:val="21"/>
              </w:rPr>
              <w:t>6.3</w:t>
            </w:r>
            <w:r>
              <w:rPr>
                <w:szCs w:val="21"/>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30.</w:t>
            </w:r>
            <w:r>
              <w:rPr>
                <w:rFonts w:hint="eastAsia"/>
                <w:szCs w:val="21"/>
              </w:rPr>
              <w:t>创业行业</w:t>
            </w:r>
          </w:p>
        </w:tc>
        <w:tc>
          <w:tcPr>
            <w:tcW w:w="2281" w:type="dxa"/>
          </w:tcPr>
          <w:p>
            <w:r>
              <w:rPr>
                <w:rFonts w:hint="eastAsia"/>
                <w:szCs w:val="21"/>
              </w:rPr>
              <w:t>/</w:t>
            </w:r>
          </w:p>
        </w:tc>
        <w:tc>
          <w:tcPr>
            <w:tcW w:w="2491" w:type="dxa"/>
          </w:tcPr>
          <w:p>
            <w:r>
              <w:rPr>
                <w:rFonts w:hint="eastAsia"/>
                <w:szCs w:val="21"/>
              </w:rPr>
              <w:t>/</w:t>
            </w:r>
          </w:p>
        </w:tc>
        <w:tc>
          <w:tcPr>
            <w:tcW w:w="2641" w:type="dxa"/>
          </w:tcPr>
          <w:p>
            <w:r>
              <w:rPr>
                <w:rFonts w:hint="eastAsia"/>
                <w:szCs w:val="21"/>
              </w:rPr>
              <w:t>/</w:t>
            </w:r>
          </w:p>
        </w:tc>
        <w:tc>
          <w:tcPr>
            <w:tcW w:w="2747" w:type="dxa"/>
          </w:tcPr>
          <w:p>
            <w:pPr>
              <w:rPr>
                <w:szCs w:val="21"/>
              </w:rPr>
            </w:pPr>
            <w:r>
              <w:t>文化、体育和娱乐业（</w:t>
            </w:r>
            <w:r>
              <w:rPr>
                <w:rFonts w:hint="eastAsia"/>
              </w:rPr>
              <w:t>56.3</w:t>
            </w:r>
            <w:r>
              <w:t>%）</w:t>
            </w:r>
            <w:r>
              <w:rPr>
                <w:rFonts w:hint="eastAsia"/>
              </w:rPr>
              <w:t>、其他</w:t>
            </w:r>
            <w:r>
              <w:t>（</w:t>
            </w:r>
            <w:r>
              <w:rPr>
                <w:rFonts w:hint="eastAsia"/>
              </w:rPr>
              <w:t>25.0</w:t>
            </w:r>
            <w:r>
              <w:t>%）</w:t>
            </w:r>
            <w:r>
              <w:rPr>
                <w:rFonts w:hint="eastAsia"/>
              </w:rPr>
              <w:t>、教育</w:t>
            </w:r>
            <w:r>
              <w:t>及科研行业（</w:t>
            </w:r>
            <w:r>
              <w:rPr>
                <w:rFonts w:hint="eastAsia"/>
              </w:rPr>
              <w:t>12.5</w:t>
            </w:r>
            <w: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szCs w:val="21"/>
              </w:rPr>
              <w:t>31.</w:t>
            </w:r>
            <w:r>
              <w:rPr>
                <w:rFonts w:hint="eastAsia"/>
                <w:szCs w:val="21"/>
              </w:rPr>
              <w:t>创业与专业相关程度</w:t>
            </w:r>
          </w:p>
        </w:tc>
        <w:tc>
          <w:tcPr>
            <w:tcW w:w="2281" w:type="dxa"/>
          </w:tcPr>
          <w:p>
            <w:r>
              <w:rPr>
                <w:rFonts w:hint="eastAsia"/>
                <w:szCs w:val="21"/>
              </w:rPr>
              <w:t>/</w:t>
            </w:r>
          </w:p>
        </w:tc>
        <w:tc>
          <w:tcPr>
            <w:tcW w:w="2491" w:type="dxa"/>
          </w:tcPr>
          <w:p>
            <w:r>
              <w:rPr>
                <w:rFonts w:hint="eastAsia"/>
                <w:szCs w:val="21"/>
              </w:rPr>
              <w:t>/</w:t>
            </w:r>
          </w:p>
        </w:tc>
        <w:tc>
          <w:tcPr>
            <w:tcW w:w="2641" w:type="dxa"/>
          </w:tcPr>
          <w:p>
            <w:r>
              <w:rPr>
                <w:rFonts w:hint="eastAsia"/>
                <w:szCs w:val="21"/>
              </w:rPr>
              <w:t>/</w:t>
            </w:r>
          </w:p>
        </w:tc>
        <w:tc>
          <w:tcPr>
            <w:tcW w:w="2747" w:type="dxa"/>
          </w:tcPr>
          <w:p>
            <w:pPr>
              <w:rPr>
                <w:szCs w:val="21"/>
              </w:rPr>
            </w:pPr>
            <w:r>
              <w:rPr>
                <w:rFonts w:hint="eastAsia"/>
                <w:szCs w:val="21"/>
              </w:rPr>
              <w:t>93.8</w:t>
            </w:r>
            <w:r>
              <w:rPr>
                <w:szCs w:val="21"/>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846" w:type="dxa"/>
            <w:vMerge w:val="continue"/>
          </w:tcPr>
          <w:p/>
        </w:tc>
        <w:tc>
          <w:tcPr>
            <w:tcW w:w="684" w:type="dxa"/>
            <w:vMerge w:val="continue"/>
          </w:tcPr>
          <w:p/>
        </w:tc>
        <w:tc>
          <w:tcPr>
            <w:tcW w:w="2258" w:type="dxa"/>
          </w:tcPr>
          <w:p>
            <w:pPr>
              <w:rPr>
                <w:szCs w:val="21"/>
              </w:rPr>
            </w:pPr>
            <w:r>
              <w:rPr>
                <w:rFonts w:hint="eastAsia"/>
                <w:szCs w:val="21"/>
              </w:rPr>
              <w:t>3</w:t>
            </w:r>
            <w:r>
              <w:rPr>
                <w:szCs w:val="21"/>
              </w:rPr>
              <w:t>2</w:t>
            </w:r>
            <w:r>
              <w:rPr>
                <w:rFonts w:hint="eastAsia"/>
                <w:szCs w:val="21"/>
              </w:rPr>
              <w:t>.筹资途径</w:t>
            </w:r>
          </w:p>
        </w:tc>
        <w:tc>
          <w:tcPr>
            <w:tcW w:w="2281" w:type="dxa"/>
          </w:tcPr>
          <w:p>
            <w:r>
              <w:rPr>
                <w:rFonts w:hint="eastAsia"/>
                <w:szCs w:val="21"/>
              </w:rPr>
              <w:t>/</w:t>
            </w:r>
          </w:p>
        </w:tc>
        <w:tc>
          <w:tcPr>
            <w:tcW w:w="2491" w:type="dxa"/>
          </w:tcPr>
          <w:p>
            <w:r>
              <w:rPr>
                <w:rFonts w:hint="eastAsia"/>
                <w:szCs w:val="21"/>
              </w:rPr>
              <w:t>/</w:t>
            </w:r>
          </w:p>
        </w:tc>
        <w:tc>
          <w:tcPr>
            <w:tcW w:w="2641" w:type="dxa"/>
          </w:tcPr>
          <w:p>
            <w:r>
              <w:rPr>
                <w:rFonts w:hint="eastAsia"/>
                <w:szCs w:val="21"/>
              </w:rPr>
              <w:t>/</w:t>
            </w:r>
          </w:p>
        </w:tc>
        <w:tc>
          <w:tcPr>
            <w:tcW w:w="2747" w:type="dxa"/>
          </w:tcPr>
          <w:p>
            <w:pPr>
              <w:rPr>
                <w:szCs w:val="21"/>
              </w:rPr>
            </w:pPr>
            <w:r>
              <w:rPr>
                <w:rFonts w:hint="eastAsia"/>
                <w:szCs w:val="21"/>
              </w:rPr>
              <w:t>自筹资金</w:t>
            </w:r>
            <w:r>
              <w:rPr>
                <w:szCs w:val="21"/>
              </w:rPr>
              <w:t>（</w:t>
            </w:r>
            <w:r>
              <w:rPr>
                <w:rFonts w:hint="eastAsia"/>
                <w:szCs w:val="21"/>
              </w:rPr>
              <w:t>87.5</w:t>
            </w:r>
            <w:r>
              <w:rPr>
                <w:szCs w:val="21"/>
              </w:rPr>
              <w:t>%）</w:t>
            </w:r>
            <w:r>
              <w:rPr>
                <w:rFonts w:hint="eastAsia"/>
                <w:szCs w:val="21"/>
              </w:rPr>
              <w:t>、天使</w:t>
            </w:r>
            <w:r>
              <w:rPr>
                <w:szCs w:val="21"/>
              </w:rPr>
              <w:t>投资（</w:t>
            </w:r>
            <w:r>
              <w:rPr>
                <w:rFonts w:hint="eastAsia"/>
                <w:szCs w:val="21"/>
              </w:rPr>
              <w:t>25.0</w:t>
            </w:r>
            <w:r>
              <w:rPr>
                <w:szCs w:val="21"/>
              </w:rPr>
              <w:t>%）</w:t>
            </w:r>
            <w:r>
              <w:rPr>
                <w:rFonts w:hint="eastAsia"/>
                <w:szCs w:val="21"/>
              </w:rPr>
              <w:t>、技术</w:t>
            </w:r>
            <w:r>
              <w:rPr>
                <w:szCs w:val="21"/>
              </w:rPr>
              <w:t>融资（</w:t>
            </w:r>
            <w:r>
              <w:rPr>
                <w:rFonts w:hint="eastAsia"/>
                <w:szCs w:val="21"/>
              </w:rPr>
              <w:t>18.8</w:t>
            </w:r>
            <w:r>
              <w:rPr>
                <w:szCs w:val="21"/>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restart"/>
            <w:vAlign w:val="center"/>
          </w:tcPr>
          <w:p>
            <w:r>
              <w:rPr>
                <w:rFonts w:hint="eastAsia"/>
              </w:rPr>
              <w:t>用人单位调查</w:t>
            </w:r>
          </w:p>
          <w:p>
            <w:r>
              <w:rPr>
                <w:rFonts w:hint="eastAsia"/>
              </w:rPr>
              <w:t>（样本量：</w:t>
            </w:r>
            <w:r>
              <w:t>5）</w:t>
            </w:r>
          </w:p>
        </w:tc>
        <w:tc>
          <w:tcPr>
            <w:tcW w:w="2258" w:type="dxa"/>
          </w:tcPr>
          <w:p>
            <w:pPr>
              <w:rPr>
                <w:szCs w:val="21"/>
              </w:rPr>
            </w:pPr>
            <w:r>
              <w:rPr>
                <w:rFonts w:hint="eastAsia"/>
                <w:szCs w:val="21"/>
              </w:rPr>
              <w:t>3</w:t>
            </w:r>
            <w:r>
              <w:rPr>
                <w:szCs w:val="21"/>
              </w:rPr>
              <w:t>3</w:t>
            </w:r>
            <w:r>
              <w:rPr>
                <w:rFonts w:hint="eastAsia"/>
                <w:szCs w:val="21"/>
              </w:rPr>
              <w:t>.实际和计划招聘人数</w:t>
            </w:r>
          </w:p>
        </w:tc>
        <w:tc>
          <w:tcPr>
            <w:tcW w:w="10160" w:type="dxa"/>
            <w:gridSpan w:val="4"/>
          </w:tcPr>
          <w:p>
            <w:pPr>
              <w:rPr>
                <w:szCs w:val="21"/>
              </w:rPr>
            </w:pPr>
            <w:r>
              <w:rPr>
                <w:rFonts w:hint="eastAsia"/>
                <w:szCs w:val="21"/>
              </w:rPr>
              <w:t>实际：</w:t>
            </w:r>
            <w:r>
              <w:rPr>
                <w:szCs w:val="21"/>
              </w:rPr>
              <w:t>1.00人，其中男生0.00人、女生1.00人、北京生源0.20人、京外生源0.60人</w:t>
            </w:r>
          </w:p>
          <w:p>
            <w:pPr>
              <w:rPr>
                <w:szCs w:val="21"/>
              </w:rPr>
            </w:pPr>
            <w:r>
              <w:rPr>
                <w:rFonts w:hint="eastAsia"/>
                <w:szCs w:val="21"/>
              </w:rPr>
              <w:t>计划：</w:t>
            </w:r>
            <w:r>
              <w:rPr>
                <w:szCs w:val="21"/>
              </w:rPr>
              <w:t>2.00人，其中男生0.00人、女生0.00人、北京生源0.00人、京外生源0.00人</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r>
              <w:rPr>
                <w:rFonts w:hint="eastAsia"/>
                <w:szCs w:val="21"/>
              </w:rPr>
              <w:t>3</w:t>
            </w:r>
            <w:r>
              <w:rPr>
                <w:szCs w:val="21"/>
              </w:rPr>
              <w:t>4</w:t>
            </w:r>
            <w:r>
              <w:rPr>
                <w:rFonts w:hint="eastAsia"/>
                <w:szCs w:val="21"/>
              </w:rPr>
              <w:t>.实际和计划招聘学历层次</w:t>
            </w:r>
          </w:p>
        </w:tc>
        <w:tc>
          <w:tcPr>
            <w:tcW w:w="10160" w:type="dxa"/>
            <w:gridSpan w:val="4"/>
          </w:tcPr>
          <w:p>
            <w:pPr>
              <w:rPr>
                <w:szCs w:val="21"/>
              </w:rPr>
            </w:pPr>
            <w:r>
              <w:rPr>
                <w:rFonts w:hint="eastAsia"/>
                <w:szCs w:val="21"/>
              </w:rPr>
              <w:t>实际：专科生</w:t>
            </w:r>
            <w:r>
              <w:rPr>
                <w:szCs w:val="21"/>
              </w:rPr>
              <w:t>0.00人、本科生0.40人、硕士生0.20人、博士生0.20人</w:t>
            </w:r>
          </w:p>
          <w:p>
            <w:pPr>
              <w:rPr>
                <w:szCs w:val="21"/>
              </w:rPr>
            </w:pPr>
            <w:r>
              <w:rPr>
                <w:rFonts w:hint="eastAsia"/>
                <w:szCs w:val="21"/>
              </w:rPr>
              <w:t>计划：专科生</w:t>
            </w:r>
            <w:r>
              <w:rPr>
                <w:szCs w:val="21"/>
              </w:rPr>
              <w:t>0.00人、本科生0.00人、硕士生0.00人、博士生0.00人</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rPr>
                <w:rFonts w:hint="eastAsia"/>
                <w:szCs w:val="21"/>
              </w:rPr>
              <w:t>3</w:t>
            </w:r>
            <w:r>
              <w:rPr>
                <w:szCs w:val="21"/>
              </w:rPr>
              <w:t>5</w:t>
            </w:r>
            <w:r>
              <w:rPr>
                <w:rFonts w:hint="eastAsia"/>
                <w:szCs w:val="21"/>
              </w:rPr>
              <w:t>.实际和计划招聘专业</w:t>
            </w:r>
          </w:p>
        </w:tc>
        <w:tc>
          <w:tcPr>
            <w:tcW w:w="10160" w:type="dxa"/>
            <w:gridSpan w:val="4"/>
          </w:tcPr>
          <w:p>
            <w:pPr>
              <w:rPr>
                <w:szCs w:val="21"/>
              </w:rPr>
            </w:pPr>
            <w:r>
              <w:rPr>
                <w:rFonts w:hint="eastAsia"/>
                <w:szCs w:val="21"/>
              </w:rPr>
              <w:t>实际：（本科）表演、（博士）戏剧与影视学、（硕士）戏剧与影视学</w:t>
            </w:r>
          </w:p>
          <w:p>
            <w:pPr>
              <w:rPr>
                <w:szCs w:val="21"/>
              </w:rPr>
            </w:pPr>
            <w:r>
              <w:rPr>
                <w:rFonts w:hint="eastAsia"/>
                <w:szCs w:val="21"/>
              </w:rPr>
              <w:t>计划：（本科）表演、（硕士）戏剧与影视学、（本科）播音与主持</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rPr>
                <w:rFonts w:hint="eastAsia"/>
                <w:szCs w:val="21"/>
              </w:rPr>
              <w:t>3</w:t>
            </w:r>
            <w:r>
              <w:rPr>
                <w:szCs w:val="21"/>
              </w:rPr>
              <w:t>6</w:t>
            </w:r>
            <w:r>
              <w:rPr>
                <w:rFonts w:hint="eastAsia"/>
                <w:szCs w:val="21"/>
              </w:rPr>
              <w:t>.未来需求趋势</w:t>
            </w:r>
          </w:p>
        </w:tc>
        <w:tc>
          <w:tcPr>
            <w:tcW w:w="10160" w:type="dxa"/>
            <w:gridSpan w:val="4"/>
          </w:tcPr>
          <w:p>
            <w:pPr>
              <w:rPr>
                <w:szCs w:val="21"/>
              </w:rPr>
            </w:pPr>
            <w:r>
              <w:t>2</w:t>
            </w:r>
            <w:r>
              <w:rPr>
                <w:rFonts w:hint="eastAsia"/>
              </w:rPr>
              <w:t>0.0%（增加）</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rPr>
                <w:szCs w:val="21"/>
              </w:rPr>
              <w:t>37</w:t>
            </w:r>
            <w:r>
              <w:rPr>
                <w:rFonts w:hint="eastAsia"/>
                <w:szCs w:val="21"/>
              </w:rPr>
              <w:t>.招聘时重视的职业能力</w:t>
            </w:r>
          </w:p>
        </w:tc>
        <w:tc>
          <w:tcPr>
            <w:tcW w:w="10160" w:type="dxa"/>
            <w:gridSpan w:val="4"/>
          </w:tcPr>
          <w:p>
            <w:pPr>
              <w:rPr>
                <w:szCs w:val="21"/>
              </w:rPr>
            </w:pPr>
            <w:r>
              <w:rPr>
                <w:rFonts w:hint="eastAsia"/>
              </w:rPr>
              <w:t>专业性知识与技能、通识性</w:t>
            </w:r>
            <w:r>
              <w:t>知识与技能</w:t>
            </w:r>
            <w:r>
              <w:rPr>
                <w:rFonts w:hint="eastAsia"/>
              </w:rPr>
              <w:t>、自我</w:t>
            </w:r>
            <w:r>
              <w:t>管理</w:t>
            </w:r>
            <w:r>
              <w:rPr>
                <w:rFonts w:hint="eastAsia"/>
              </w:rPr>
              <w:t>能力</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rPr>
                <w:szCs w:val="21"/>
              </w:rPr>
              <w:t>38</w:t>
            </w:r>
            <w:r>
              <w:rPr>
                <w:rFonts w:hint="eastAsia"/>
                <w:szCs w:val="21"/>
              </w:rPr>
              <w:t>.招聘时重视的职业素养</w:t>
            </w:r>
          </w:p>
        </w:tc>
        <w:tc>
          <w:tcPr>
            <w:tcW w:w="10160" w:type="dxa"/>
            <w:gridSpan w:val="4"/>
          </w:tcPr>
          <w:p>
            <w:pPr>
              <w:rPr>
                <w:szCs w:val="21"/>
              </w:rPr>
            </w:pPr>
            <w:r>
              <w:rPr>
                <w:rFonts w:hint="eastAsia"/>
              </w:rPr>
              <w:t>爱岗敬业、责任感强、自信心强、勤奋努力</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r>
              <w:rPr>
                <w:szCs w:val="21"/>
              </w:rPr>
              <w:t>39</w:t>
            </w:r>
            <w:r>
              <w:rPr>
                <w:rFonts w:hint="eastAsia"/>
                <w:szCs w:val="21"/>
              </w:rPr>
              <w:t>.有待提升的职业能力</w:t>
            </w:r>
          </w:p>
        </w:tc>
        <w:tc>
          <w:tcPr>
            <w:tcW w:w="10160" w:type="dxa"/>
            <w:gridSpan w:val="4"/>
          </w:tcPr>
          <w:p>
            <w:pPr>
              <w:rPr>
                <w:szCs w:val="21"/>
              </w:rPr>
            </w:pPr>
            <w:r>
              <w:rPr>
                <w:rFonts w:hint="eastAsia"/>
              </w:rPr>
              <w:t>执行能力、创新能力、自我管理能力、沟通与表达能力</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rPr>
                <w:szCs w:val="21"/>
              </w:rPr>
              <w:t>40</w:t>
            </w:r>
            <w:r>
              <w:rPr>
                <w:rFonts w:hint="eastAsia"/>
                <w:szCs w:val="21"/>
              </w:rPr>
              <w:t>.有待提升的职业素养</w:t>
            </w:r>
          </w:p>
        </w:tc>
        <w:tc>
          <w:tcPr>
            <w:tcW w:w="10160" w:type="dxa"/>
            <w:gridSpan w:val="4"/>
          </w:tcPr>
          <w:p>
            <w:pPr>
              <w:rPr>
                <w:szCs w:val="21"/>
              </w:rPr>
            </w:pPr>
            <w:r>
              <w:rPr>
                <w:rFonts w:hint="eastAsia"/>
              </w:rPr>
              <w:t>积极主动、勤奋努力、忠诚可靠</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t>41.对职业发展有益的学校经历</w:t>
            </w:r>
          </w:p>
        </w:tc>
        <w:tc>
          <w:tcPr>
            <w:tcW w:w="10160" w:type="dxa"/>
            <w:gridSpan w:val="4"/>
          </w:tcPr>
          <w:p>
            <w:pPr>
              <w:rPr>
                <w:szCs w:val="21"/>
              </w:rPr>
            </w:pPr>
            <w:r>
              <w:rPr>
                <w:rFonts w:hint="eastAsia"/>
              </w:rPr>
              <w:t>实习实践活动、公开发表论文、课外自学的知识与技能</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t>42.转换工作的原因</w:t>
            </w:r>
          </w:p>
        </w:tc>
        <w:tc>
          <w:tcPr>
            <w:tcW w:w="10160" w:type="dxa"/>
            <w:gridSpan w:val="4"/>
          </w:tcPr>
          <w:p>
            <w:pPr>
              <w:rPr>
                <w:szCs w:val="21"/>
              </w:rPr>
            </w:pPr>
            <w:r>
              <w:rPr>
                <w:rFonts w:hint="eastAsia"/>
              </w:rPr>
              <w:t>薪酬福利偏低、准备求学深造、创业或从事自由职业、不能发挥专业所长</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t>43.总体满意度</w:t>
            </w:r>
          </w:p>
        </w:tc>
        <w:tc>
          <w:tcPr>
            <w:tcW w:w="10160" w:type="dxa"/>
            <w:gridSpan w:val="4"/>
          </w:tcPr>
          <w:p>
            <w:pPr>
              <w:rPr>
                <w:szCs w:val="21"/>
              </w:rPr>
            </w:pPr>
            <w:r>
              <w:t>100.0%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r>
              <w:t>44.专业知识和技能满意度</w:t>
            </w:r>
          </w:p>
        </w:tc>
        <w:tc>
          <w:tcPr>
            <w:tcW w:w="10160" w:type="dxa"/>
            <w:gridSpan w:val="4"/>
          </w:tcPr>
          <w:p>
            <w:pPr>
              <w:rPr>
                <w:szCs w:val="21"/>
              </w:rPr>
            </w:pPr>
            <w:r>
              <w:t>100.0%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pPr>
              <w:rPr>
                <w:szCs w:val="21"/>
              </w:rPr>
            </w:pPr>
            <w:r>
              <w:t>45.有效校园招聘渠道</w:t>
            </w:r>
          </w:p>
        </w:tc>
        <w:tc>
          <w:tcPr>
            <w:tcW w:w="10160" w:type="dxa"/>
            <w:gridSpan w:val="4"/>
          </w:tcPr>
          <w:p>
            <w:pPr>
              <w:rPr>
                <w:szCs w:val="21"/>
              </w:rPr>
            </w:pPr>
            <w:r>
              <w:rPr>
                <w:rFonts w:hint="eastAsia"/>
              </w:rPr>
              <w:t>学校组织的招聘会、校友推荐、老师推荐、学校发布的招聘信息</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jc w:val="center"/>
        </w:trPr>
        <w:tc>
          <w:tcPr>
            <w:tcW w:w="1530" w:type="dxa"/>
            <w:gridSpan w:val="2"/>
            <w:vMerge w:val="continue"/>
          </w:tcPr>
          <w:p/>
        </w:tc>
        <w:tc>
          <w:tcPr>
            <w:tcW w:w="2258" w:type="dxa"/>
          </w:tcPr>
          <w:p>
            <w:r>
              <w:t>46.需要本校提供的就业服务</w:t>
            </w:r>
          </w:p>
        </w:tc>
        <w:tc>
          <w:tcPr>
            <w:tcW w:w="10160" w:type="dxa"/>
            <w:gridSpan w:val="4"/>
          </w:tcPr>
          <w:p>
            <w:pPr>
              <w:rPr>
                <w:szCs w:val="21"/>
              </w:rPr>
            </w:pPr>
            <w:r>
              <w:rPr>
                <w:rFonts w:hint="eastAsia"/>
              </w:rPr>
              <w:t>招聘信息的发布、组织实习实践活动、就业派遣手续的办理</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CellMar>
            <w:top w:w="0" w:type="dxa"/>
            <w:left w:w="108" w:type="dxa"/>
            <w:bottom w:w="0" w:type="dxa"/>
            <w:right w:w="108" w:type="dxa"/>
          </w:tblCellMar>
        </w:tblPrEx>
        <w:trPr>
          <w:trHeight w:val="914" w:hRule="atLeast"/>
          <w:jc w:val="center"/>
        </w:trPr>
        <w:tc>
          <w:tcPr>
            <w:tcW w:w="1530" w:type="dxa"/>
            <w:gridSpan w:val="2"/>
            <w:vMerge w:val="continue"/>
          </w:tcPr>
          <w:p/>
        </w:tc>
        <w:tc>
          <w:tcPr>
            <w:tcW w:w="2258" w:type="dxa"/>
          </w:tcPr>
          <w:p>
            <w:r>
              <w:t>47.对本校就业指导与服务工作总体满意度评分</w:t>
            </w:r>
          </w:p>
        </w:tc>
        <w:tc>
          <w:tcPr>
            <w:tcW w:w="10160" w:type="dxa"/>
            <w:gridSpan w:val="4"/>
          </w:tcPr>
          <w:p>
            <w:r>
              <w:rPr>
                <w:rFonts w:hint="eastAsia"/>
              </w:rPr>
              <w:t>83.8分</w:t>
            </w:r>
          </w:p>
        </w:tc>
      </w:tr>
    </w:tbl>
    <w:p>
      <w:pPr>
        <w:pStyle w:val="52"/>
      </w:pPr>
    </w:p>
    <w:p>
      <w:pPr>
        <w:pStyle w:val="37"/>
        <w:ind w:firstLine="480"/>
      </w:pPr>
    </w:p>
    <w:p>
      <w:pPr>
        <w:pStyle w:val="37"/>
        <w:ind w:firstLine="480"/>
      </w:pPr>
    </w:p>
    <w:sectPr>
      <w:pgSz w:w="16838" w:h="11906" w:orient="landscape"/>
      <w:pgMar w:top="1134" w:right="1418" w:bottom="1134" w:left="1418" w:header="851" w:footer="85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MingLiU">
    <w:panose1 w:val="02020309000000000000"/>
    <w:charset w:val="88"/>
    <w:family w:val="modern"/>
    <w:pitch w:val="default"/>
    <w:sig w:usb0="00000003" w:usb1="082E0000" w:usb2="00000016" w:usb3="00000000" w:csb0="00100001" w:csb1="00000000"/>
  </w:font>
  <w:font w:name="仿宋">
    <w:altName w:val="微软雅黑"/>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00007A87" w:usb1="80000000" w:usb2="00000008" w:usb3="00000000" w:csb0="400001FF" w:csb1="FFFF0000"/>
  </w:font>
  <w:font w:name="微软雅黑">
    <w:panose1 w:val="020B0503020204020204"/>
    <w:charset w:val="86"/>
    <w:family w:val="auto"/>
    <w:pitch w:val="default"/>
    <w:sig w:usb0="80000287" w:usb1="2A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仿宋">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hint="eastAsia"/>
      </w:rPr>
      <w:t>-</w:t>
    </w:r>
    <w:r>
      <w:fldChar w:fldCharType="begin"/>
    </w:r>
    <w:r>
      <w:instrText xml:space="preserve"> PAGE   \* MERGEFORMAT </w:instrText>
    </w:r>
    <w:r>
      <w:fldChar w:fldCharType="separate"/>
    </w:r>
    <w:r>
      <w:rPr>
        <w:lang w:val="zh-CN"/>
      </w:rPr>
      <w:t>v</w:t>
    </w:r>
    <w:r>
      <w:rPr>
        <w:lang w:val="zh-CN"/>
      </w:rP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w:t>
    </w:r>
    <w:r>
      <w:fldChar w:fldCharType="begin"/>
    </w:r>
    <w:r>
      <w:instrText xml:space="preserve"> PAGE   \* MERGEFORMAT </w:instrText>
    </w:r>
    <w:r>
      <w:fldChar w:fldCharType="separate"/>
    </w:r>
    <w:r>
      <w:rPr>
        <w:lang w:val="zh-CN"/>
      </w:rPr>
      <w:t>iv</w:t>
    </w:r>
    <w:r>
      <w:rPr>
        <w:lang w:val="zh-CN"/>
      </w:rP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199</w:t>
    </w:r>
    <w:r>
      <w:rPr>
        <w:rFonts w:ascii="Times New Roman" w:hAnsi="Times New Roman" w:cs="Times New Roman"/>
        <w:sz w:val="21"/>
        <w:szCs w:val="21"/>
      </w:rPr>
      <w:fldChar w:fldCharType="end"/>
    </w:r>
    <w:r>
      <w:rPr>
        <w:rFonts w:ascii="Times New Roman" w:hAnsi="Times New Roman" w:cs="Times New Roman"/>
        <w:sz w:val="21"/>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3490764"/>
    </w:sdtPr>
    <w:sdtContent>
      <w:p>
        <w:pPr>
          <w:pStyle w:val="17"/>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200</w:t>
        </w:r>
        <w:r>
          <w:rPr>
            <w:rFonts w:ascii="Times New Roman" w:hAnsi="Times New Roman" w:cs="Times New Roman"/>
            <w:sz w:val="21"/>
            <w:szCs w:val="21"/>
          </w:rPr>
          <w:fldChar w:fldCharType="end"/>
        </w:r>
        <w:r>
          <w:rPr>
            <w:rFonts w:ascii="Times New Roman" w:hAnsi="Times New Roman" w:cs="Times New Roman"/>
            <w:sz w:val="21"/>
            <w:szCs w:val="21"/>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2"/>
      </w:pPr>
      <w:r>
        <w:rPr>
          <w:rStyle w:val="32"/>
        </w:rPr>
        <w:footnoteRef/>
      </w:r>
      <w:r>
        <w:rPr>
          <w:rFonts w:hint="eastAsia"/>
        </w:rPr>
        <w:t>本报告中的“显著”均指在95%的置信水平下显著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01354"/>
    <w:multiLevelType w:val="multilevel"/>
    <w:tmpl w:val="36301354"/>
    <w:lvl w:ilvl="0" w:tentative="0">
      <w:start w:val="1"/>
      <w:numFmt w:val="decimal"/>
      <w:pStyle w:val="53"/>
      <w:lvlText w:val="表%1 "/>
      <w:lvlJc w:val="left"/>
      <w:pPr>
        <w:ind w:left="704" w:hanging="420"/>
      </w:pPr>
      <w:rPr>
        <w:rFonts w:hint="default" w:ascii="Times New Roman" w:hAnsi="Times New Roman" w:eastAsia="宋体"/>
        <w:b w:val="0"/>
        <w:i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E8B5FEA"/>
    <w:multiLevelType w:val="multilevel"/>
    <w:tmpl w:val="4E8B5FEA"/>
    <w:lvl w:ilvl="0" w:tentative="0">
      <w:start w:val="1"/>
      <w:numFmt w:val="decimal"/>
      <w:pStyle w:val="59"/>
      <w:lvlText w:val="图%1 "/>
      <w:lvlJc w:val="left"/>
      <w:pPr>
        <w:ind w:left="420" w:hanging="420"/>
      </w:pPr>
      <w:rPr>
        <w:rFonts w:hint="default" w:ascii="Times New Roman" w:hAnsi="Times New Roman" w:eastAsia="宋体"/>
        <w:b w:val="0"/>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64AF3D"/>
    <w:multiLevelType w:val="singleLevel"/>
    <w:tmpl w:val="5864AF3D"/>
    <w:lvl w:ilvl="0" w:tentative="0">
      <w:start w:val="1"/>
      <w:numFmt w:val="chineseCounting"/>
      <w:suff w:val="nothing"/>
      <w:lvlText w:val="%1、"/>
      <w:lvlJc w:val="left"/>
    </w:lvl>
  </w:abstractNum>
  <w:abstractNum w:abstractNumId="3">
    <w:nsid w:val="5864AFB0"/>
    <w:multiLevelType w:val="singleLevel"/>
    <w:tmpl w:val="5864AFB0"/>
    <w:lvl w:ilvl="0" w:tentative="0">
      <w:start w:val="3"/>
      <w:numFmt w:val="chineseCounting"/>
      <w:suff w:val="nothing"/>
      <w:lvlText w:val="%1、"/>
      <w:lvlJc w:val="left"/>
    </w:lvl>
  </w:abstractNum>
  <w:abstractNum w:abstractNumId="4">
    <w:nsid w:val="5864C148"/>
    <w:multiLevelType w:val="singleLevel"/>
    <w:tmpl w:val="5864C148"/>
    <w:lvl w:ilvl="0" w:tentative="0">
      <w:start w:val="2"/>
      <w:numFmt w:val="chineseCounting"/>
      <w:suff w:val="nothing"/>
      <w:lvlText w:val="%1、"/>
      <w:lvlJc w:val="left"/>
    </w:lvl>
  </w:abstractNum>
  <w:abstractNum w:abstractNumId="5">
    <w:nsid w:val="5865BBEE"/>
    <w:multiLevelType w:val="singleLevel"/>
    <w:tmpl w:val="5865BBEE"/>
    <w:lvl w:ilvl="0" w:tentative="0">
      <w:start w:val="6"/>
      <w:numFmt w:val="chineseCounting"/>
      <w:suff w:val="space"/>
      <w:lvlText w:val="第%1章"/>
      <w:lvlJc w:val="left"/>
    </w:lvl>
  </w:abstractNum>
  <w:abstractNum w:abstractNumId="6">
    <w:nsid w:val="5865C2E1"/>
    <w:multiLevelType w:val="singleLevel"/>
    <w:tmpl w:val="5865C2E1"/>
    <w:lvl w:ilvl="0" w:tentative="0">
      <w:start w:val="6"/>
      <w:numFmt w:val="chineseCounting"/>
      <w:suff w:val="nothing"/>
      <w:lvlText w:val="第%1章"/>
      <w:lvlJc w:val="left"/>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A8A"/>
    <w:rsid w:val="00002BE1"/>
    <w:rsid w:val="000046A7"/>
    <w:rsid w:val="00012AC7"/>
    <w:rsid w:val="000152DD"/>
    <w:rsid w:val="000173C5"/>
    <w:rsid w:val="0002008B"/>
    <w:rsid w:val="00022099"/>
    <w:rsid w:val="00023340"/>
    <w:rsid w:val="000264AE"/>
    <w:rsid w:val="000271C0"/>
    <w:rsid w:val="00030550"/>
    <w:rsid w:val="000360E3"/>
    <w:rsid w:val="000377D0"/>
    <w:rsid w:val="000437AE"/>
    <w:rsid w:val="0004446D"/>
    <w:rsid w:val="00044D5A"/>
    <w:rsid w:val="0004566F"/>
    <w:rsid w:val="00045D0A"/>
    <w:rsid w:val="0005428E"/>
    <w:rsid w:val="000545F6"/>
    <w:rsid w:val="00054F22"/>
    <w:rsid w:val="000556C3"/>
    <w:rsid w:val="000655D9"/>
    <w:rsid w:val="00071C94"/>
    <w:rsid w:val="0007289F"/>
    <w:rsid w:val="00073A68"/>
    <w:rsid w:val="00073E62"/>
    <w:rsid w:val="00074F4E"/>
    <w:rsid w:val="00075686"/>
    <w:rsid w:val="000761E5"/>
    <w:rsid w:val="000779B9"/>
    <w:rsid w:val="00080FDB"/>
    <w:rsid w:val="000810C4"/>
    <w:rsid w:val="00081C6B"/>
    <w:rsid w:val="00083AEE"/>
    <w:rsid w:val="00086388"/>
    <w:rsid w:val="000877DF"/>
    <w:rsid w:val="00090CC0"/>
    <w:rsid w:val="000936BC"/>
    <w:rsid w:val="00095399"/>
    <w:rsid w:val="00095A3C"/>
    <w:rsid w:val="000A1799"/>
    <w:rsid w:val="000A7132"/>
    <w:rsid w:val="000B103F"/>
    <w:rsid w:val="000C0609"/>
    <w:rsid w:val="000C11A3"/>
    <w:rsid w:val="000C20A8"/>
    <w:rsid w:val="000C52A3"/>
    <w:rsid w:val="000D0D75"/>
    <w:rsid w:val="000D3149"/>
    <w:rsid w:val="000D5647"/>
    <w:rsid w:val="000D6129"/>
    <w:rsid w:val="000D615C"/>
    <w:rsid w:val="000D7B73"/>
    <w:rsid w:val="000E213F"/>
    <w:rsid w:val="000E3C60"/>
    <w:rsid w:val="000E4C50"/>
    <w:rsid w:val="000E4FBC"/>
    <w:rsid w:val="000F1E2E"/>
    <w:rsid w:val="000F3389"/>
    <w:rsid w:val="000F3D39"/>
    <w:rsid w:val="000F3E81"/>
    <w:rsid w:val="000F6A09"/>
    <w:rsid w:val="00100921"/>
    <w:rsid w:val="00102562"/>
    <w:rsid w:val="001027BC"/>
    <w:rsid w:val="00103416"/>
    <w:rsid w:val="0010546E"/>
    <w:rsid w:val="00112602"/>
    <w:rsid w:val="00112DD9"/>
    <w:rsid w:val="00114EDE"/>
    <w:rsid w:val="00116C38"/>
    <w:rsid w:val="00116DC8"/>
    <w:rsid w:val="0012353A"/>
    <w:rsid w:val="00123E92"/>
    <w:rsid w:val="001249F6"/>
    <w:rsid w:val="00125719"/>
    <w:rsid w:val="0012597D"/>
    <w:rsid w:val="00133207"/>
    <w:rsid w:val="0013596C"/>
    <w:rsid w:val="00136115"/>
    <w:rsid w:val="00137BDB"/>
    <w:rsid w:val="001422D5"/>
    <w:rsid w:val="00143623"/>
    <w:rsid w:val="0014414A"/>
    <w:rsid w:val="00152116"/>
    <w:rsid w:val="001522B2"/>
    <w:rsid w:val="00163B71"/>
    <w:rsid w:val="00167325"/>
    <w:rsid w:val="0017213A"/>
    <w:rsid w:val="00176867"/>
    <w:rsid w:val="00177D31"/>
    <w:rsid w:val="0019152F"/>
    <w:rsid w:val="00192B76"/>
    <w:rsid w:val="00193B72"/>
    <w:rsid w:val="00195884"/>
    <w:rsid w:val="00197348"/>
    <w:rsid w:val="001B051D"/>
    <w:rsid w:val="001B281E"/>
    <w:rsid w:val="001B6543"/>
    <w:rsid w:val="001B71FC"/>
    <w:rsid w:val="001C1FE1"/>
    <w:rsid w:val="001C2A28"/>
    <w:rsid w:val="001C3FC2"/>
    <w:rsid w:val="001C40A2"/>
    <w:rsid w:val="001C44A5"/>
    <w:rsid w:val="001C56FC"/>
    <w:rsid w:val="001C5FB1"/>
    <w:rsid w:val="001C6265"/>
    <w:rsid w:val="001C693C"/>
    <w:rsid w:val="001D04FD"/>
    <w:rsid w:val="001D105A"/>
    <w:rsid w:val="001D14C7"/>
    <w:rsid w:val="001D199D"/>
    <w:rsid w:val="001D3C2D"/>
    <w:rsid w:val="001D46E5"/>
    <w:rsid w:val="001D7DB2"/>
    <w:rsid w:val="001D7ED1"/>
    <w:rsid w:val="001D7FB9"/>
    <w:rsid w:val="001E1492"/>
    <w:rsid w:val="001F029C"/>
    <w:rsid w:val="001F17A1"/>
    <w:rsid w:val="001F56B4"/>
    <w:rsid w:val="00200CFE"/>
    <w:rsid w:val="00206F14"/>
    <w:rsid w:val="00207063"/>
    <w:rsid w:val="00207114"/>
    <w:rsid w:val="00210ED2"/>
    <w:rsid w:val="002113A6"/>
    <w:rsid w:val="0021279F"/>
    <w:rsid w:val="002243AE"/>
    <w:rsid w:val="002249CF"/>
    <w:rsid w:val="00227477"/>
    <w:rsid w:val="002314B7"/>
    <w:rsid w:val="00231731"/>
    <w:rsid w:val="00233FA2"/>
    <w:rsid w:val="0023423D"/>
    <w:rsid w:val="00235083"/>
    <w:rsid w:val="0023529F"/>
    <w:rsid w:val="0023593B"/>
    <w:rsid w:val="0023759C"/>
    <w:rsid w:val="00240177"/>
    <w:rsid w:val="0024124D"/>
    <w:rsid w:val="0024148D"/>
    <w:rsid w:val="00245AEF"/>
    <w:rsid w:val="00252C2E"/>
    <w:rsid w:val="00253F62"/>
    <w:rsid w:val="0026580F"/>
    <w:rsid w:val="002705DB"/>
    <w:rsid w:val="00270BBB"/>
    <w:rsid w:val="002761B3"/>
    <w:rsid w:val="00277145"/>
    <w:rsid w:val="00280A4B"/>
    <w:rsid w:val="002814ED"/>
    <w:rsid w:val="0028539A"/>
    <w:rsid w:val="002A0A5A"/>
    <w:rsid w:val="002A1428"/>
    <w:rsid w:val="002A3AA5"/>
    <w:rsid w:val="002A72E7"/>
    <w:rsid w:val="002B0D36"/>
    <w:rsid w:val="002B29D5"/>
    <w:rsid w:val="002B71BC"/>
    <w:rsid w:val="002C0421"/>
    <w:rsid w:val="002C2AFA"/>
    <w:rsid w:val="002C2B4A"/>
    <w:rsid w:val="002C545B"/>
    <w:rsid w:val="002C5EE7"/>
    <w:rsid w:val="002D246B"/>
    <w:rsid w:val="002D3F63"/>
    <w:rsid w:val="002D4AE7"/>
    <w:rsid w:val="002E0185"/>
    <w:rsid w:val="002E680D"/>
    <w:rsid w:val="002E7112"/>
    <w:rsid w:val="002F1382"/>
    <w:rsid w:val="002F4BC4"/>
    <w:rsid w:val="00303A1E"/>
    <w:rsid w:val="00307949"/>
    <w:rsid w:val="00310FAE"/>
    <w:rsid w:val="00312F4E"/>
    <w:rsid w:val="003146E9"/>
    <w:rsid w:val="003166EB"/>
    <w:rsid w:val="003217BA"/>
    <w:rsid w:val="00323139"/>
    <w:rsid w:val="00327EE8"/>
    <w:rsid w:val="00327F91"/>
    <w:rsid w:val="003300E0"/>
    <w:rsid w:val="003337AF"/>
    <w:rsid w:val="00333CB5"/>
    <w:rsid w:val="00341836"/>
    <w:rsid w:val="00342C3A"/>
    <w:rsid w:val="003438D1"/>
    <w:rsid w:val="00351DE5"/>
    <w:rsid w:val="0035324F"/>
    <w:rsid w:val="00354212"/>
    <w:rsid w:val="00356616"/>
    <w:rsid w:val="00360A17"/>
    <w:rsid w:val="003620DA"/>
    <w:rsid w:val="00363E42"/>
    <w:rsid w:val="003644DB"/>
    <w:rsid w:val="00364E14"/>
    <w:rsid w:val="00365B5D"/>
    <w:rsid w:val="00366B6D"/>
    <w:rsid w:val="00366DB1"/>
    <w:rsid w:val="00367AD3"/>
    <w:rsid w:val="00372AAA"/>
    <w:rsid w:val="003735CF"/>
    <w:rsid w:val="00373C19"/>
    <w:rsid w:val="00376A8C"/>
    <w:rsid w:val="003845D9"/>
    <w:rsid w:val="003848C8"/>
    <w:rsid w:val="00385B56"/>
    <w:rsid w:val="00386A42"/>
    <w:rsid w:val="003946B8"/>
    <w:rsid w:val="003954AB"/>
    <w:rsid w:val="003A1362"/>
    <w:rsid w:val="003A13DF"/>
    <w:rsid w:val="003A3FFF"/>
    <w:rsid w:val="003B0311"/>
    <w:rsid w:val="003B3308"/>
    <w:rsid w:val="003B4942"/>
    <w:rsid w:val="003B4CFB"/>
    <w:rsid w:val="003B4FE9"/>
    <w:rsid w:val="003B522E"/>
    <w:rsid w:val="003B6CB5"/>
    <w:rsid w:val="003B7403"/>
    <w:rsid w:val="003B79E8"/>
    <w:rsid w:val="003C05E8"/>
    <w:rsid w:val="003C2432"/>
    <w:rsid w:val="003C519D"/>
    <w:rsid w:val="003C5B02"/>
    <w:rsid w:val="003C60A9"/>
    <w:rsid w:val="003C6EF0"/>
    <w:rsid w:val="003C753D"/>
    <w:rsid w:val="003D4760"/>
    <w:rsid w:val="003D6630"/>
    <w:rsid w:val="003E0E7B"/>
    <w:rsid w:val="003E15A8"/>
    <w:rsid w:val="003E2839"/>
    <w:rsid w:val="003E74C5"/>
    <w:rsid w:val="003F0E72"/>
    <w:rsid w:val="003F2B9A"/>
    <w:rsid w:val="003F5256"/>
    <w:rsid w:val="00401B05"/>
    <w:rsid w:val="00401F51"/>
    <w:rsid w:val="004021F6"/>
    <w:rsid w:val="0040446E"/>
    <w:rsid w:val="00404AE6"/>
    <w:rsid w:val="00404C15"/>
    <w:rsid w:val="00406599"/>
    <w:rsid w:val="00411A84"/>
    <w:rsid w:val="00411FF3"/>
    <w:rsid w:val="004128B2"/>
    <w:rsid w:val="00415761"/>
    <w:rsid w:val="004178BB"/>
    <w:rsid w:val="00417F11"/>
    <w:rsid w:val="004217D1"/>
    <w:rsid w:val="00421B28"/>
    <w:rsid w:val="004224CC"/>
    <w:rsid w:val="00422734"/>
    <w:rsid w:val="004238B2"/>
    <w:rsid w:val="004253D4"/>
    <w:rsid w:val="0042582A"/>
    <w:rsid w:val="0042592B"/>
    <w:rsid w:val="00426B3F"/>
    <w:rsid w:val="004303A1"/>
    <w:rsid w:val="00430BFC"/>
    <w:rsid w:val="00434715"/>
    <w:rsid w:val="0044202F"/>
    <w:rsid w:val="00442667"/>
    <w:rsid w:val="00444140"/>
    <w:rsid w:val="00444802"/>
    <w:rsid w:val="00445F93"/>
    <w:rsid w:val="00446C9B"/>
    <w:rsid w:val="00447B13"/>
    <w:rsid w:val="004524E8"/>
    <w:rsid w:val="004551CF"/>
    <w:rsid w:val="004569BC"/>
    <w:rsid w:val="00457E54"/>
    <w:rsid w:val="004623BD"/>
    <w:rsid w:val="00463B3A"/>
    <w:rsid w:val="004701AE"/>
    <w:rsid w:val="0047385F"/>
    <w:rsid w:val="0047445E"/>
    <w:rsid w:val="0047749B"/>
    <w:rsid w:val="00480A2E"/>
    <w:rsid w:val="0048562F"/>
    <w:rsid w:val="00486FB1"/>
    <w:rsid w:val="00491E96"/>
    <w:rsid w:val="004930FB"/>
    <w:rsid w:val="00494C02"/>
    <w:rsid w:val="004961F2"/>
    <w:rsid w:val="004A3FC4"/>
    <w:rsid w:val="004A52D5"/>
    <w:rsid w:val="004A6293"/>
    <w:rsid w:val="004A6474"/>
    <w:rsid w:val="004A79F0"/>
    <w:rsid w:val="004B1C01"/>
    <w:rsid w:val="004B4C1F"/>
    <w:rsid w:val="004B5F5F"/>
    <w:rsid w:val="004B68FD"/>
    <w:rsid w:val="004C140B"/>
    <w:rsid w:val="004C58B1"/>
    <w:rsid w:val="004C69B3"/>
    <w:rsid w:val="004C6A7F"/>
    <w:rsid w:val="004D5A9C"/>
    <w:rsid w:val="004D7E5A"/>
    <w:rsid w:val="004E5B8A"/>
    <w:rsid w:val="004E6EC0"/>
    <w:rsid w:val="004E7E89"/>
    <w:rsid w:val="004F1914"/>
    <w:rsid w:val="00501BB2"/>
    <w:rsid w:val="00502323"/>
    <w:rsid w:val="00503D8B"/>
    <w:rsid w:val="00504DE7"/>
    <w:rsid w:val="00507739"/>
    <w:rsid w:val="00510DFE"/>
    <w:rsid w:val="00511E98"/>
    <w:rsid w:val="00513DFB"/>
    <w:rsid w:val="005165CF"/>
    <w:rsid w:val="005244F5"/>
    <w:rsid w:val="00525C9E"/>
    <w:rsid w:val="00525F44"/>
    <w:rsid w:val="00530CB9"/>
    <w:rsid w:val="00545A27"/>
    <w:rsid w:val="005513D6"/>
    <w:rsid w:val="00560246"/>
    <w:rsid w:val="0056028B"/>
    <w:rsid w:val="005603A3"/>
    <w:rsid w:val="005638E7"/>
    <w:rsid w:val="00564286"/>
    <w:rsid w:val="005642FD"/>
    <w:rsid w:val="0056552E"/>
    <w:rsid w:val="00566959"/>
    <w:rsid w:val="00566C26"/>
    <w:rsid w:val="00567598"/>
    <w:rsid w:val="005700F0"/>
    <w:rsid w:val="00573488"/>
    <w:rsid w:val="00581540"/>
    <w:rsid w:val="00585190"/>
    <w:rsid w:val="005941ED"/>
    <w:rsid w:val="005944A0"/>
    <w:rsid w:val="0059633F"/>
    <w:rsid w:val="005969F0"/>
    <w:rsid w:val="005A0848"/>
    <w:rsid w:val="005A4EE4"/>
    <w:rsid w:val="005A6928"/>
    <w:rsid w:val="005B0502"/>
    <w:rsid w:val="005B20B2"/>
    <w:rsid w:val="005B2C71"/>
    <w:rsid w:val="005B63AC"/>
    <w:rsid w:val="005B63C3"/>
    <w:rsid w:val="005B7E8F"/>
    <w:rsid w:val="005C3329"/>
    <w:rsid w:val="005C7A20"/>
    <w:rsid w:val="005C7DB3"/>
    <w:rsid w:val="005D4107"/>
    <w:rsid w:val="005D7125"/>
    <w:rsid w:val="005E0280"/>
    <w:rsid w:val="005E13A0"/>
    <w:rsid w:val="005E37A8"/>
    <w:rsid w:val="005E3EE5"/>
    <w:rsid w:val="005E3F7E"/>
    <w:rsid w:val="005F2998"/>
    <w:rsid w:val="005F3949"/>
    <w:rsid w:val="005F49E6"/>
    <w:rsid w:val="005F49E8"/>
    <w:rsid w:val="005F7505"/>
    <w:rsid w:val="00607A28"/>
    <w:rsid w:val="00610259"/>
    <w:rsid w:val="00611878"/>
    <w:rsid w:val="00611AD9"/>
    <w:rsid w:val="00614271"/>
    <w:rsid w:val="00615593"/>
    <w:rsid w:val="006171DD"/>
    <w:rsid w:val="006224BC"/>
    <w:rsid w:val="006241E6"/>
    <w:rsid w:val="006258AE"/>
    <w:rsid w:val="00625F13"/>
    <w:rsid w:val="00627D40"/>
    <w:rsid w:val="006302E8"/>
    <w:rsid w:val="00630393"/>
    <w:rsid w:val="00630A28"/>
    <w:rsid w:val="00630C55"/>
    <w:rsid w:val="00632189"/>
    <w:rsid w:val="00633526"/>
    <w:rsid w:val="006371C0"/>
    <w:rsid w:val="006414BC"/>
    <w:rsid w:val="006421FB"/>
    <w:rsid w:val="006432BD"/>
    <w:rsid w:val="00644E20"/>
    <w:rsid w:val="00651556"/>
    <w:rsid w:val="0065416B"/>
    <w:rsid w:val="0065682B"/>
    <w:rsid w:val="006569A8"/>
    <w:rsid w:val="006640B2"/>
    <w:rsid w:val="00670844"/>
    <w:rsid w:val="00672A44"/>
    <w:rsid w:val="00681E45"/>
    <w:rsid w:val="006834BD"/>
    <w:rsid w:val="006846AA"/>
    <w:rsid w:val="0068573C"/>
    <w:rsid w:val="006862C7"/>
    <w:rsid w:val="00686E87"/>
    <w:rsid w:val="006901E0"/>
    <w:rsid w:val="006925B3"/>
    <w:rsid w:val="00692E2D"/>
    <w:rsid w:val="00693698"/>
    <w:rsid w:val="00694983"/>
    <w:rsid w:val="006A0996"/>
    <w:rsid w:val="006A36C2"/>
    <w:rsid w:val="006A38D8"/>
    <w:rsid w:val="006A6B06"/>
    <w:rsid w:val="006A6BF4"/>
    <w:rsid w:val="006A6D42"/>
    <w:rsid w:val="006A7D6C"/>
    <w:rsid w:val="006B4C20"/>
    <w:rsid w:val="006B517B"/>
    <w:rsid w:val="006B5418"/>
    <w:rsid w:val="006C711E"/>
    <w:rsid w:val="006E597E"/>
    <w:rsid w:val="006E66BC"/>
    <w:rsid w:val="006E734E"/>
    <w:rsid w:val="006E7F31"/>
    <w:rsid w:val="006F1D2E"/>
    <w:rsid w:val="006F671A"/>
    <w:rsid w:val="007007EC"/>
    <w:rsid w:val="00700B45"/>
    <w:rsid w:val="007013E1"/>
    <w:rsid w:val="007021C9"/>
    <w:rsid w:val="00702604"/>
    <w:rsid w:val="00703136"/>
    <w:rsid w:val="00712E70"/>
    <w:rsid w:val="0071396C"/>
    <w:rsid w:val="00720507"/>
    <w:rsid w:val="00720898"/>
    <w:rsid w:val="00732E0C"/>
    <w:rsid w:val="007344B5"/>
    <w:rsid w:val="00736296"/>
    <w:rsid w:val="00736367"/>
    <w:rsid w:val="007366AD"/>
    <w:rsid w:val="00742CD2"/>
    <w:rsid w:val="00744E9F"/>
    <w:rsid w:val="0075421C"/>
    <w:rsid w:val="00754CE0"/>
    <w:rsid w:val="007551A6"/>
    <w:rsid w:val="00755983"/>
    <w:rsid w:val="00756FEA"/>
    <w:rsid w:val="0075787F"/>
    <w:rsid w:val="007578C8"/>
    <w:rsid w:val="007664A5"/>
    <w:rsid w:val="00767A5E"/>
    <w:rsid w:val="00772553"/>
    <w:rsid w:val="00776C60"/>
    <w:rsid w:val="0077742E"/>
    <w:rsid w:val="007837B9"/>
    <w:rsid w:val="00784AAF"/>
    <w:rsid w:val="00787CAB"/>
    <w:rsid w:val="007A42F1"/>
    <w:rsid w:val="007A5810"/>
    <w:rsid w:val="007A650C"/>
    <w:rsid w:val="007A7E85"/>
    <w:rsid w:val="007B2E54"/>
    <w:rsid w:val="007B3372"/>
    <w:rsid w:val="007B5D70"/>
    <w:rsid w:val="007B62F6"/>
    <w:rsid w:val="007B796E"/>
    <w:rsid w:val="007B7E0D"/>
    <w:rsid w:val="007C09B9"/>
    <w:rsid w:val="007C1F88"/>
    <w:rsid w:val="007C2AC1"/>
    <w:rsid w:val="007C526A"/>
    <w:rsid w:val="007C5FD1"/>
    <w:rsid w:val="007C6B89"/>
    <w:rsid w:val="007D0265"/>
    <w:rsid w:val="007D0F8C"/>
    <w:rsid w:val="007D214C"/>
    <w:rsid w:val="007D50E6"/>
    <w:rsid w:val="007E0EE3"/>
    <w:rsid w:val="007E4E15"/>
    <w:rsid w:val="007E5E63"/>
    <w:rsid w:val="007F0BC5"/>
    <w:rsid w:val="007F19CC"/>
    <w:rsid w:val="007F7842"/>
    <w:rsid w:val="00802CDE"/>
    <w:rsid w:val="00804A6C"/>
    <w:rsid w:val="00804CE8"/>
    <w:rsid w:val="008072A8"/>
    <w:rsid w:val="00814A78"/>
    <w:rsid w:val="0082008E"/>
    <w:rsid w:val="008220A3"/>
    <w:rsid w:val="00823CDB"/>
    <w:rsid w:val="008253B0"/>
    <w:rsid w:val="00825464"/>
    <w:rsid w:val="00831A4C"/>
    <w:rsid w:val="008364B5"/>
    <w:rsid w:val="008415E6"/>
    <w:rsid w:val="00855389"/>
    <w:rsid w:val="00857708"/>
    <w:rsid w:val="008604CE"/>
    <w:rsid w:val="0086330B"/>
    <w:rsid w:val="0086459B"/>
    <w:rsid w:val="00867079"/>
    <w:rsid w:val="008671AC"/>
    <w:rsid w:val="00870DA1"/>
    <w:rsid w:val="00872053"/>
    <w:rsid w:val="0088075C"/>
    <w:rsid w:val="00883F7B"/>
    <w:rsid w:val="00890FD1"/>
    <w:rsid w:val="0089409C"/>
    <w:rsid w:val="00896248"/>
    <w:rsid w:val="008A7AEF"/>
    <w:rsid w:val="008B17B2"/>
    <w:rsid w:val="008B4F51"/>
    <w:rsid w:val="008B6A06"/>
    <w:rsid w:val="008B7701"/>
    <w:rsid w:val="008C3784"/>
    <w:rsid w:val="008C7434"/>
    <w:rsid w:val="008D0C32"/>
    <w:rsid w:val="008D134D"/>
    <w:rsid w:val="008E077B"/>
    <w:rsid w:val="008E35DB"/>
    <w:rsid w:val="008E4109"/>
    <w:rsid w:val="008E452D"/>
    <w:rsid w:val="008E4C40"/>
    <w:rsid w:val="008E5202"/>
    <w:rsid w:val="008E6525"/>
    <w:rsid w:val="008F1EF5"/>
    <w:rsid w:val="008F2EB5"/>
    <w:rsid w:val="008F41AF"/>
    <w:rsid w:val="008F6F13"/>
    <w:rsid w:val="00905849"/>
    <w:rsid w:val="00906BFF"/>
    <w:rsid w:val="009100AA"/>
    <w:rsid w:val="009157E6"/>
    <w:rsid w:val="0092088B"/>
    <w:rsid w:val="00922043"/>
    <w:rsid w:val="00924911"/>
    <w:rsid w:val="00924A3C"/>
    <w:rsid w:val="009250DD"/>
    <w:rsid w:val="00925614"/>
    <w:rsid w:val="00931FA9"/>
    <w:rsid w:val="00933C6C"/>
    <w:rsid w:val="00935EDD"/>
    <w:rsid w:val="00936900"/>
    <w:rsid w:val="00940400"/>
    <w:rsid w:val="00940B0C"/>
    <w:rsid w:val="00941C7C"/>
    <w:rsid w:val="00942663"/>
    <w:rsid w:val="009428AE"/>
    <w:rsid w:val="00944F5A"/>
    <w:rsid w:val="00950510"/>
    <w:rsid w:val="0095301F"/>
    <w:rsid w:val="009532C4"/>
    <w:rsid w:val="00955CB8"/>
    <w:rsid w:val="00956AFD"/>
    <w:rsid w:val="00963B9C"/>
    <w:rsid w:val="00973AB6"/>
    <w:rsid w:val="00974BFD"/>
    <w:rsid w:val="0097606A"/>
    <w:rsid w:val="009776D9"/>
    <w:rsid w:val="00983E11"/>
    <w:rsid w:val="009869C4"/>
    <w:rsid w:val="00992AC8"/>
    <w:rsid w:val="0099403B"/>
    <w:rsid w:val="00996387"/>
    <w:rsid w:val="00997017"/>
    <w:rsid w:val="009A4D2B"/>
    <w:rsid w:val="009A74C8"/>
    <w:rsid w:val="009B3E5E"/>
    <w:rsid w:val="009B41FD"/>
    <w:rsid w:val="009B4C70"/>
    <w:rsid w:val="009B66FB"/>
    <w:rsid w:val="009C0650"/>
    <w:rsid w:val="009C1E1E"/>
    <w:rsid w:val="009C3D2C"/>
    <w:rsid w:val="009C7149"/>
    <w:rsid w:val="009D1A85"/>
    <w:rsid w:val="009D1BF2"/>
    <w:rsid w:val="009D216D"/>
    <w:rsid w:val="009D496F"/>
    <w:rsid w:val="009D7CF7"/>
    <w:rsid w:val="009E1455"/>
    <w:rsid w:val="009E1BC0"/>
    <w:rsid w:val="009E73CD"/>
    <w:rsid w:val="009E78C0"/>
    <w:rsid w:val="009E7C41"/>
    <w:rsid w:val="009F0EFD"/>
    <w:rsid w:val="009F14BF"/>
    <w:rsid w:val="009F6067"/>
    <w:rsid w:val="00A067C6"/>
    <w:rsid w:val="00A1091A"/>
    <w:rsid w:val="00A116D2"/>
    <w:rsid w:val="00A11FD2"/>
    <w:rsid w:val="00A12D67"/>
    <w:rsid w:val="00A22837"/>
    <w:rsid w:val="00A31755"/>
    <w:rsid w:val="00A33A63"/>
    <w:rsid w:val="00A40E44"/>
    <w:rsid w:val="00A423F2"/>
    <w:rsid w:val="00A44CF5"/>
    <w:rsid w:val="00A51B7A"/>
    <w:rsid w:val="00A52478"/>
    <w:rsid w:val="00A55492"/>
    <w:rsid w:val="00A643C0"/>
    <w:rsid w:val="00A70745"/>
    <w:rsid w:val="00A70B45"/>
    <w:rsid w:val="00A70D9D"/>
    <w:rsid w:val="00A714E6"/>
    <w:rsid w:val="00A7271D"/>
    <w:rsid w:val="00A76B70"/>
    <w:rsid w:val="00A830C6"/>
    <w:rsid w:val="00A83B95"/>
    <w:rsid w:val="00A848EA"/>
    <w:rsid w:val="00A8754E"/>
    <w:rsid w:val="00A93FE6"/>
    <w:rsid w:val="00AA31A8"/>
    <w:rsid w:val="00AA3A1A"/>
    <w:rsid w:val="00AA6BB3"/>
    <w:rsid w:val="00AB7068"/>
    <w:rsid w:val="00AC1872"/>
    <w:rsid w:val="00AC48B3"/>
    <w:rsid w:val="00AC6006"/>
    <w:rsid w:val="00AC70B9"/>
    <w:rsid w:val="00AD0730"/>
    <w:rsid w:val="00AD1A63"/>
    <w:rsid w:val="00AD3847"/>
    <w:rsid w:val="00AD3B05"/>
    <w:rsid w:val="00AD3C29"/>
    <w:rsid w:val="00AD609C"/>
    <w:rsid w:val="00AE0779"/>
    <w:rsid w:val="00AE5F32"/>
    <w:rsid w:val="00AE5FD4"/>
    <w:rsid w:val="00AE6E79"/>
    <w:rsid w:val="00AF06D5"/>
    <w:rsid w:val="00AF10A5"/>
    <w:rsid w:val="00AF14A0"/>
    <w:rsid w:val="00AF2BEB"/>
    <w:rsid w:val="00AF40DD"/>
    <w:rsid w:val="00AF54E2"/>
    <w:rsid w:val="00AF6784"/>
    <w:rsid w:val="00B04285"/>
    <w:rsid w:val="00B05699"/>
    <w:rsid w:val="00B05CA8"/>
    <w:rsid w:val="00B069FC"/>
    <w:rsid w:val="00B070FB"/>
    <w:rsid w:val="00B12AEA"/>
    <w:rsid w:val="00B132AE"/>
    <w:rsid w:val="00B13B85"/>
    <w:rsid w:val="00B175E7"/>
    <w:rsid w:val="00B22DAF"/>
    <w:rsid w:val="00B23C3B"/>
    <w:rsid w:val="00B2709F"/>
    <w:rsid w:val="00B33553"/>
    <w:rsid w:val="00B351C2"/>
    <w:rsid w:val="00B36EE5"/>
    <w:rsid w:val="00B402AA"/>
    <w:rsid w:val="00B423D5"/>
    <w:rsid w:val="00B47465"/>
    <w:rsid w:val="00B561BC"/>
    <w:rsid w:val="00B57028"/>
    <w:rsid w:val="00B608DE"/>
    <w:rsid w:val="00B61C2A"/>
    <w:rsid w:val="00B65699"/>
    <w:rsid w:val="00B66C84"/>
    <w:rsid w:val="00B70026"/>
    <w:rsid w:val="00B701B5"/>
    <w:rsid w:val="00B72DC7"/>
    <w:rsid w:val="00B7465C"/>
    <w:rsid w:val="00B75EB3"/>
    <w:rsid w:val="00B8034B"/>
    <w:rsid w:val="00B82609"/>
    <w:rsid w:val="00B83857"/>
    <w:rsid w:val="00B9002D"/>
    <w:rsid w:val="00B92446"/>
    <w:rsid w:val="00B9711E"/>
    <w:rsid w:val="00B977BF"/>
    <w:rsid w:val="00BA12E1"/>
    <w:rsid w:val="00BA3938"/>
    <w:rsid w:val="00BA76F8"/>
    <w:rsid w:val="00BB316E"/>
    <w:rsid w:val="00BB3C87"/>
    <w:rsid w:val="00BB454D"/>
    <w:rsid w:val="00BB6172"/>
    <w:rsid w:val="00BB7E0F"/>
    <w:rsid w:val="00BC3D2A"/>
    <w:rsid w:val="00BC6551"/>
    <w:rsid w:val="00BD1DE7"/>
    <w:rsid w:val="00BD2651"/>
    <w:rsid w:val="00BD5C45"/>
    <w:rsid w:val="00BE3CE4"/>
    <w:rsid w:val="00BE482D"/>
    <w:rsid w:val="00BE785A"/>
    <w:rsid w:val="00BF44D0"/>
    <w:rsid w:val="00BF68DC"/>
    <w:rsid w:val="00BF6BAC"/>
    <w:rsid w:val="00C035D8"/>
    <w:rsid w:val="00C062D4"/>
    <w:rsid w:val="00C0634B"/>
    <w:rsid w:val="00C079CA"/>
    <w:rsid w:val="00C07C76"/>
    <w:rsid w:val="00C14445"/>
    <w:rsid w:val="00C170C0"/>
    <w:rsid w:val="00C2176D"/>
    <w:rsid w:val="00C2279E"/>
    <w:rsid w:val="00C23BCC"/>
    <w:rsid w:val="00C26085"/>
    <w:rsid w:val="00C2755F"/>
    <w:rsid w:val="00C30A82"/>
    <w:rsid w:val="00C31AD7"/>
    <w:rsid w:val="00C3426F"/>
    <w:rsid w:val="00C41765"/>
    <w:rsid w:val="00C42937"/>
    <w:rsid w:val="00C440CF"/>
    <w:rsid w:val="00C51B80"/>
    <w:rsid w:val="00C5239E"/>
    <w:rsid w:val="00C52468"/>
    <w:rsid w:val="00C54C21"/>
    <w:rsid w:val="00C57A5A"/>
    <w:rsid w:val="00C6240A"/>
    <w:rsid w:val="00C639C9"/>
    <w:rsid w:val="00C63F9F"/>
    <w:rsid w:val="00C64CC6"/>
    <w:rsid w:val="00C7281D"/>
    <w:rsid w:val="00C76283"/>
    <w:rsid w:val="00C7773D"/>
    <w:rsid w:val="00C8006A"/>
    <w:rsid w:val="00C83995"/>
    <w:rsid w:val="00C90553"/>
    <w:rsid w:val="00C91B22"/>
    <w:rsid w:val="00C93117"/>
    <w:rsid w:val="00CA0FE1"/>
    <w:rsid w:val="00CA24FF"/>
    <w:rsid w:val="00CA3F15"/>
    <w:rsid w:val="00CA5935"/>
    <w:rsid w:val="00CB0578"/>
    <w:rsid w:val="00CB33C4"/>
    <w:rsid w:val="00CB3609"/>
    <w:rsid w:val="00CB5847"/>
    <w:rsid w:val="00CC004D"/>
    <w:rsid w:val="00CC1CCC"/>
    <w:rsid w:val="00CC4C88"/>
    <w:rsid w:val="00CD33BA"/>
    <w:rsid w:val="00CD7ABC"/>
    <w:rsid w:val="00CE0AA0"/>
    <w:rsid w:val="00CE0B5C"/>
    <w:rsid w:val="00CE0D96"/>
    <w:rsid w:val="00CE4AE1"/>
    <w:rsid w:val="00CE56B0"/>
    <w:rsid w:val="00CF006B"/>
    <w:rsid w:val="00CF2E69"/>
    <w:rsid w:val="00CF58EC"/>
    <w:rsid w:val="00CF7B45"/>
    <w:rsid w:val="00D0016B"/>
    <w:rsid w:val="00D003EB"/>
    <w:rsid w:val="00D0383B"/>
    <w:rsid w:val="00D03F90"/>
    <w:rsid w:val="00D05653"/>
    <w:rsid w:val="00D1159A"/>
    <w:rsid w:val="00D17D18"/>
    <w:rsid w:val="00D21611"/>
    <w:rsid w:val="00D24A82"/>
    <w:rsid w:val="00D27BEE"/>
    <w:rsid w:val="00D30839"/>
    <w:rsid w:val="00D3171B"/>
    <w:rsid w:val="00D3699E"/>
    <w:rsid w:val="00D42111"/>
    <w:rsid w:val="00D43008"/>
    <w:rsid w:val="00D50D08"/>
    <w:rsid w:val="00D55768"/>
    <w:rsid w:val="00D55AE5"/>
    <w:rsid w:val="00D56EBA"/>
    <w:rsid w:val="00D577D2"/>
    <w:rsid w:val="00D617EC"/>
    <w:rsid w:val="00D65FBB"/>
    <w:rsid w:val="00D66F92"/>
    <w:rsid w:val="00D67400"/>
    <w:rsid w:val="00D67A1A"/>
    <w:rsid w:val="00D67F10"/>
    <w:rsid w:val="00D70550"/>
    <w:rsid w:val="00D767D0"/>
    <w:rsid w:val="00D76F1E"/>
    <w:rsid w:val="00D84C31"/>
    <w:rsid w:val="00D902F1"/>
    <w:rsid w:val="00D91FEE"/>
    <w:rsid w:val="00D92DD6"/>
    <w:rsid w:val="00D942B9"/>
    <w:rsid w:val="00D95D34"/>
    <w:rsid w:val="00DA70E5"/>
    <w:rsid w:val="00DB1809"/>
    <w:rsid w:val="00DB2562"/>
    <w:rsid w:val="00DB4972"/>
    <w:rsid w:val="00DB7E4D"/>
    <w:rsid w:val="00DC0C98"/>
    <w:rsid w:val="00DC596C"/>
    <w:rsid w:val="00DC7F8D"/>
    <w:rsid w:val="00DD3B3E"/>
    <w:rsid w:val="00DE1F64"/>
    <w:rsid w:val="00DE4177"/>
    <w:rsid w:val="00DE44AE"/>
    <w:rsid w:val="00DF4CA2"/>
    <w:rsid w:val="00DF4D8E"/>
    <w:rsid w:val="00E003FA"/>
    <w:rsid w:val="00E0121A"/>
    <w:rsid w:val="00E01311"/>
    <w:rsid w:val="00E01639"/>
    <w:rsid w:val="00E02E2C"/>
    <w:rsid w:val="00E0769F"/>
    <w:rsid w:val="00E12D06"/>
    <w:rsid w:val="00E13348"/>
    <w:rsid w:val="00E13F2B"/>
    <w:rsid w:val="00E1666D"/>
    <w:rsid w:val="00E1764F"/>
    <w:rsid w:val="00E2375C"/>
    <w:rsid w:val="00E23D15"/>
    <w:rsid w:val="00E26EC9"/>
    <w:rsid w:val="00E27E5C"/>
    <w:rsid w:val="00E30AA2"/>
    <w:rsid w:val="00E415BE"/>
    <w:rsid w:val="00E435AD"/>
    <w:rsid w:val="00E43AC3"/>
    <w:rsid w:val="00E448D5"/>
    <w:rsid w:val="00E44AAA"/>
    <w:rsid w:val="00E44F90"/>
    <w:rsid w:val="00E47FCB"/>
    <w:rsid w:val="00E54C16"/>
    <w:rsid w:val="00E6268C"/>
    <w:rsid w:val="00E731B4"/>
    <w:rsid w:val="00E740F9"/>
    <w:rsid w:val="00E74903"/>
    <w:rsid w:val="00E7659A"/>
    <w:rsid w:val="00E81446"/>
    <w:rsid w:val="00E81A15"/>
    <w:rsid w:val="00E82A44"/>
    <w:rsid w:val="00E82B6B"/>
    <w:rsid w:val="00E82EEF"/>
    <w:rsid w:val="00E84E27"/>
    <w:rsid w:val="00E87D82"/>
    <w:rsid w:val="00E919B6"/>
    <w:rsid w:val="00E922DA"/>
    <w:rsid w:val="00E95C10"/>
    <w:rsid w:val="00EA0BCB"/>
    <w:rsid w:val="00EA1E85"/>
    <w:rsid w:val="00EA31D8"/>
    <w:rsid w:val="00EA6B49"/>
    <w:rsid w:val="00EA7D06"/>
    <w:rsid w:val="00EB1F03"/>
    <w:rsid w:val="00EB2AFF"/>
    <w:rsid w:val="00EB7E61"/>
    <w:rsid w:val="00EC1617"/>
    <w:rsid w:val="00EC2734"/>
    <w:rsid w:val="00EC3739"/>
    <w:rsid w:val="00EC4D31"/>
    <w:rsid w:val="00ED0166"/>
    <w:rsid w:val="00ED4483"/>
    <w:rsid w:val="00ED5252"/>
    <w:rsid w:val="00EE1923"/>
    <w:rsid w:val="00EE1CE6"/>
    <w:rsid w:val="00EE2523"/>
    <w:rsid w:val="00EE36E7"/>
    <w:rsid w:val="00EF0D9A"/>
    <w:rsid w:val="00EF1393"/>
    <w:rsid w:val="00EF1A97"/>
    <w:rsid w:val="00EF240D"/>
    <w:rsid w:val="00EF2C49"/>
    <w:rsid w:val="00EF77EA"/>
    <w:rsid w:val="00EF7C0E"/>
    <w:rsid w:val="00F037F0"/>
    <w:rsid w:val="00F03FEE"/>
    <w:rsid w:val="00F055C5"/>
    <w:rsid w:val="00F0606A"/>
    <w:rsid w:val="00F06147"/>
    <w:rsid w:val="00F06BC9"/>
    <w:rsid w:val="00F11375"/>
    <w:rsid w:val="00F153DA"/>
    <w:rsid w:val="00F1725A"/>
    <w:rsid w:val="00F266D1"/>
    <w:rsid w:val="00F35861"/>
    <w:rsid w:val="00F35BC4"/>
    <w:rsid w:val="00F426A6"/>
    <w:rsid w:val="00F44B8E"/>
    <w:rsid w:val="00F50AF5"/>
    <w:rsid w:val="00F5131C"/>
    <w:rsid w:val="00F53899"/>
    <w:rsid w:val="00F61473"/>
    <w:rsid w:val="00F63FCE"/>
    <w:rsid w:val="00F675C2"/>
    <w:rsid w:val="00F802C2"/>
    <w:rsid w:val="00F81485"/>
    <w:rsid w:val="00F8215E"/>
    <w:rsid w:val="00F83450"/>
    <w:rsid w:val="00F8593A"/>
    <w:rsid w:val="00F85F6A"/>
    <w:rsid w:val="00F862DE"/>
    <w:rsid w:val="00F954C6"/>
    <w:rsid w:val="00F9606F"/>
    <w:rsid w:val="00FA3025"/>
    <w:rsid w:val="00FA3207"/>
    <w:rsid w:val="00FA3324"/>
    <w:rsid w:val="00FA74F4"/>
    <w:rsid w:val="00FA7D71"/>
    <w:rsid w:val="00FB1C70"/>
    <w:rsid w:val="00FB66C5"/>
    <w:rsid w:val="00FC0852"/>
    <w:rsid w:val="00FC1D33"/>
    <w:rsid w:val="00FD1230"/>
    <w:rsid w:val="00FD1C72"/>
    <w:rsid w:val="00FD363B"/>
    <w:rsid w:val="00FD5E37"/>
    <w:rsid w:val="00FE2088"/>
    <w:rsid w:val="00FE4096"/>
    <w:rsid w:val="00FE420F"/>
    <w:rsid w:val="00FE6584"/>
    <w:rsid w:val="00FE71A4"/>
    <w:rsid w:val="00FF0039"/>
    <w:rsid w:val="00FF0838"/>
    <w:rsid w:val="00FF307C"/>
    <w:rsid w:val="00FF45D0"/>
    <w:rsid w:val="00FF7456"/>
    <w:rsid w:val="01B0278E"/>
    <w:rsid w:val="021E2DC2"/>
    <w:rsid w:val="08376154"/>
    <w:rsid w:val="35D9429F"/>
    <w:rsid w:val="3CD35FA6"/>
    <w:rsid w:val="4D98078D"/>
    <w:rsid w:val="71623B5F"/>
    <w:rsid w:val="77187BCB"/>
    <w:rsid w:val="79746C2A"/>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9"/>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65"/>
    <w:uiPriority w:val="0"/>
    <w:pPr>
      <w:keepNext/>
      <w:keepLines/>
      <w:spacing w:beforeLines="50" w:line="360" w:lineRule="auto"/>
      <w:ind w:firstLine="200" w:firstLineChars="200"/>
      <w:jc w:val="left"/>
      <w:outlineLvl w:val="4"/>
    </w:pPr>
    <w:rPr>
      <w:rFonts w:ascii="Times New Roman" w:hAnsi="Times New Roman" w:eastAsia="宋体" w:cs="Times New Roman"/>
      <w:b/>
      <w:bCs/>
      <w:sz w:val="28"/>
      <w:szCs w:val="28"/>
    </w:rPr>
  </w:style>
  <w:style w:type="character" w:default="1" w:styleId="27">
    <w:name w:val="Default Paragraph Font"/>
    <w:unhideWhenUsed/>
    <w:uiPriority w:val="1"/>
  </w:style>
  <w:style w:type="table" w:default="1" w:styleId="33">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4"/>
    <w:qFormat/>
    <w:uiPriority w:val="0"/>
    <w:pPr>
      <w:ind w:firstLine="0" w:firstLineChars="0"/>
    </w:pPr>
    <w:rPr>
      <w:rFonts w:ascii="Calibri" w:hAnsi="Calibri"/>
      <w:b/>
      <w:bCs/>
    </w:rPr>
  </w:style>
  <w:style w:type="paragraph" w:styleId="7">
    <w:name w:val="annotation text"/>
    <w:basedOn w:val="1"/>
    <w:link w:val="63"/>
    <w:unhideWhenUsed/>
    <w:qFormat/>
    <w:uiPriority w:val="0"/>
    <w:pPr>
      <w:spacing w:line="360" w:lineRule="auto"/>
      <w:ind w:firstLine="200" w:firstLineChars="200"/>
      <w:jc w:val="left"/>
    </w:pPr>
    <w:rPr>
      <w:rFonts w:ascii="Times New Roman" w:hAnsi="Times New Roman" w:eastAsia="宋体" w:cs="Times New Roman"/>
    </w:rPr>
  </w:style>
  <w:style w:type="paragraph" w:styleId="8">
    <w:name w:val="toc 7"/>
    <w:basedOn w:val="1"/>
    <w:next w:val="1"/>
    <w:unhideWhenUsed/>
    <w:qFormat/>
    <w:uiPriority w:val="39"/>
    <w:pPr>
      <w:ind w:left="1260"/>
      <w:jc w:val="left"/>
    </w:pPr>
    <w:rPr>
      <w:sz w:val="18"/>
      <w:szCs w:val="18"/>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Document Map"/>
    <w:basedOn w:val="1"/>
    <w:link w:val="39"/>
    <w:unhideWhenUsed/>
    <w:qFormat/>
    <w:uiPriority w:val="99"/>
    <w:rPr>
      <w:rFonts w:ascii="宋体" w:eastAsia="宋体"/>
      <w:sz w:val="18"/>
      <w:szCs w:val="18"/>
    </w:rPr>
  </w:style>
  <w:style w:type="paragraph" w:styleId="11">
    <w:name w:val="toc 5"/>
    <w:basedOn w:val="1"/>
    <w:next w:val="1"/>
    <w:unhideWhenUsed/>
    <w:qFormat/>
    <w:uiPriority w:val="39"/>
    <w:pPr>
      <w:ind w:left="840"/>
      <w:jc w:val="left"/>
    </w:pPr>
    <w:rPr>
      <w:sz w:val="18"/>
      <w:szCs w:val="18"/>
    </w:rPr>
  </w:style>
  <w:style w:type="paragraph" w:styleId="12">
    <w:name w:val="toc 3"/>
    <w:basedOn w:val="1"/>
    <w:next w:val="1"/>
    <w:unhideWhenUsed/>
    <w:qFormat/>
    <w:uiPriority w:val="39"/>
    <w:pPr>
      <w:tabs>
        <w:tab w:val="left" w:pos="709"/>
        <w:tab w:val="right" w:leader="dot" w:pos="9628"/>
      </w:tabs>
      <w:ind w:left="1343" w:leftChars="402" w:hanging="499" w:hangingChars="277"/>
      <w:jc w:val="left"/>
    </w:pPr>
    <w:rPr>
      <w:iCs/>
      <w:sz w:val="18"/>
      <w:szCs w:val="18"/>
    </w:rPr>
  </w:style>
  <w:style w:type="paragraph" w:styleId="13">
    <w:name w:val="toc 8"/>
    <w:basedOn w:val="1"/>
    <w:next w:val="1"/>
    <w:unhideWhenUsed/>
    <w:qFormat/>
    <w:uiPriority w:val="39"/>
    <w:pPr>
      <w:ind w:left="1470"/>
      <w:jc w:val="left"/>
    </w:pPr>
    <w:rPr>
      <w:sz w:val="18"/>
      <w:szCs w:val="18"/>
    </w:rPr>
  </w:style>
  <w:style w:type="paragraph" w:styleId="14">
    <w:name w:val="Date"/>
    <w:basedOn w:val="1"/>
    <w:next w:val="1"/>
    <w:link w:val="66"/>
    <w:unhideWhenUsed/>
    <w:qFormat/>
    <w:uiPriority w:val="99"/>
    <w:pPr>
      <w:ind w:left="100" w:leftChars="2500"/>
    </w:pPr>
  </w:style>
  <w:style w:type="paragraph" w:styleId="15">
    <w:name w:val="Body Text Indent 2"/>
    <w:basedOn w:val="1"/>
    <w:unhideWhenUsed/>
    <w:qFormat/>
    <w:uiPriority w:val="99"/>
    <w:pPr>
      <w:spacing w:line="400" w:lineRule="exact"/>
      <w:ind w:firstLine="555"/>
    </w:pPr>
    <w:rPr>
      <w:rFonts w:eastAsia="仿宋_GB2312"/>
      <w:b/>
      <w:bCs/>
      <w:sz w:val="28"/>
    </w:rPr>
  </w:style>
  <w:style w:type="paragraph" w:styleId="16">
    <w:name w:val="Balloon Text"/>
    <w:basedOn w:val="1"/>
    <w:link w:val="58"/>
    <w:unhideWhenUsed/>
    <w:qFormat/>
    <w:uiPriority w:val="0"/>
    <w:rPr>
      <w:sz w:val="18"/>
      <w:szCs w:val="18"/>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header"/>
    <w:basedOn w:val="1"/>
    <w:link w:val="35"/>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9628"/>
      </w:tabs>
      <w:spacing w:before="120" w:after="120"/>
      <w:jc w:val="left"/>
    </w:pPr>
    <w:rPr>
      <w:b/>
      <w:bCs/>
      <w:caps/>
      <w:sz w:val="24"/>
      <w:szCs w:val="24"/>
    </w:rPr>
  </w:style>
  <w:style w:type="paragraph" w:styleId="20">
    <w:name w:val="toc 4"/>
    <w:basedOn w:val="1"/>
    <w:next w:val="1"/>
    <w:unhideWhenUsed/>
    <w:qFormat/>
    <w:uiPriority w:val="39"/>
    <w:pPr>
      <w:tabs>
        <w:tab w:val="right" w:leader="dot" w:pos="9628"/>
      </w:tabs>
      <w:ind w:left="1260" w:leftChars="600"/>
      <w:jc w:val="left"/>
    </w:pPr>
    <w:rPr>
      <w:sz w:val="18"/>
      <w:szCs w:val="18"/>
    </w:rPr>
  </w:style>
  <w:style w:type="paragraph" w:styleId="21">
    <w:name w:val="Subtitle"/>
    <w:basedOn w:val="1"/>
    <w:next w:val="1"/>
    <w:link w:val="88"/>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22">
    <w:name w:val="footnote text"/>
    <w:basedOn w:val="1"/>
    <w:link w:val="72"/>
    <w:unhideWhenUsed/>
    <w:uiPriority w:val="99"/>
    <w:pPr>
      <w:snapToGrid w:val="0"/>
      <w:jc w:val="left"/>
    </w:pPr>
    <w:rPr>
      <w:sz w:val="18"/>
      <w:szCs w:val="18"/>
    </w:rPr>
  </w:style>
  <w:style w:type="paragraph" w:styleId="23">
    <w:name w:val="toc 6"/>
    <w:basedOn w:val="1"/>
    <w:next w:val="1"/>
    <w:unhideWhenUsed/>
    <w:qFormat/>
    <w:uiPriority w:val="39"/>
    <w:pPr>
      <w:ind w:left="1050"/>
      <w:jc w:val="left"/>
    </w:pPr>
    <w:rPr>
      <w:sz w:val="18"/>
      <w:szCs w:val="18"/>
    </w:rPr>
  </w:style>
  <w:style w:type="paragraph" w:styleId="24">
    <w:name w:val="toc 2"/>
    <w:basedOn w:val="1"/>
    <w:next w:val="1"/>
    <w:unhideWhenUsed/>
    <w:qFormat/>
    <w:uiPriority w:val="39"/>
    <w:pPr>
      <w:tabs>
        <w:tab w:val="right" w:leader="dot" w:pos="9628"/>
      </w:tabs>
      <w:ind w:left="426"/>
      <w:jc w:val="left"/>
    </w:pPr>
    <w:rPr>
      <w:b/>
      <w:smallCaps/>
      <w:szCs w:val="21"/>
    </w:rPr>
  </w:style>
  <w:style w:type="paragraph" w:styleId="25">
    <w:name w:val="toc 9"/>
    <w:basedOn w:val="1"/>
    <w:next w:val="1"/>
    <w:unhideWhenUsed/>
    <w:qFormat/>
    <w:uiPriority w:val="39"/>
    <w:pPr>
      <w:ind w:left="1680"/>
      <w:jc w:val="left"/>
    </w:pPr>
    <w:rPr>
      <w:sz w:val="18"/>
      <w:szCs w:val="18"/>
    </w:rPr>
  </w:style>
  <w:style w:type="paragraph" w:styleId="2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8">
    <w:name w:val="FollowedHyperlink"/>
    <w:basedOn w:val="27"/>
    <w:unhideWhenUsed/>
    <w:qFormat/>
    <w:uiPriority w:val="99"/>
    <w:rPr>
      <w:color w:val="800080"/>
      <w:u w:val="single"/>
    </w:rPr>
  </w:style>
  <w:style w:type="character" w:styleId="29">
    <w:name w:val="Emphasis"/>
    <w:qFormat/>
    <w:uiPriority w:val="0"/>
    <w:rPr>
      <w:rFonts w:ascii="Times New Roman" w:hAnsi="Times New Roman" w:eastAsia="宋体"/>
      <w:iCs/>
      <w:sz w:val="21"/>
    </w:rPr>
  </w:style>
  <w:style w:type="character" w:styleId="30">
    <w:name w:val="Hyperlink"/>
    <w:basedOn w:val="27"/>
    <w:unhideWhenUsed/>
    <w:qFormat/>
    <w:uiPriority w:val="99"/>
    <w:rPr>
      <w:color w:val="0000FF" w:themeColor="hyperlink"/>
      <w:u w:val="single"/>
    </w:rPr>
  </w:style>
  <w:style w:type="character" w:styleId="31">
    <w:name w:val="annotation reference"/>
    <w:basedOn w:val="27"/>
    <w:unhideWhenUsed/>
    <w:qFormat/>
    <w:uiPriority w:val="0"/>
    <w:rPr>
      <w:sz w:val="21"/>
      <w:szCs w:val="21"/>
    </w:rPr>
  </w:style>
  <w:style w:type="character" w:styleId="32">
    <w:name w:val="footnote reference"/>
    <w:basedOn w:val="27"/>
    <w:unhideWhenUsed/>
    <w:qFormat/>
    <w:uiPriority w:val="99"/>
    <w:rPr>
      <w:vertAlign w:val="superscript"/>
    </w:rPr>
  </w:style>
  <w:style w:type="table" w:styleId="34">
    <w:name w:val="Table Grid"/>
    <w:basedOn w:val="33"/>
    <w:qFormat/>
    <w:uiPriority w:val="59"/>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35">
    <w:name w:val="页眉 字符"/>
    <w:basedOn w:val="27"/>
    <w:link w:val="18"/>
    <w:qFormat/>
    <w:uiPriority w:val="0"/>
    <w:rPr>
      <w:sz w:val="18"/>
      <w:szCs w:val="18"/>
    </w:rPr>
  </w:style>
  <w:style w:type="character" w:customStyle="1" w:styleId="36">
    <w:name w:val="页脚 字符"/>
    <w:basedOn w:val="27"/>
    <w:link w:val="17"/>
    <w:qFormat/>
    <w:uiPriority w:val="99"/>
    <w:rPr>
      <w:sz w:val="18"/>
      <w:szCs w:val="18"/>
    </w:rPr>
  </w:style>
  <w:style w:type="paragraph" w:customStyle="1" w:styleId="37">
    <w:name w:val="FL正文"/>
    <w:basedOn w:val="1"/>
    <w:link w:val="38"/>
    <w:qFormat/>
    <w:uiPriority w:val="0"/>
    <w:pPr>
      <w:topLinePunct/>
      <w:spacing w:line="360" w:lineRule="auto"/>
      <w:ind w:firstLine="200" w:firstLineChars="200"/>
    </w:pPr>
    <w:rPr>
      <w:rFonts w:ascii="Times New Roman" w:hAnsi="Times New Roman" w:eastAsia="宋体"/>
      <w:sz w:val="24"/>
      <w:szCs w:val="24"/>
    </w:rPr>
  </w:style>
  <w:style w:type="character" w:customStyle="1" w:styleId="38">
    <w:name w:val="FL正文 Char"/>
    <w:basedOn w:val="27"/>
    <w:link w:val="37"/>
    <w:qFormat/>
    <w:uiPriority w:val="0"/>
    <w:rPr>
      <w:rFonts w:ascii="Times New Roman" w:hAnsi="Times New Roman" w:eastAsia="宋体"/>
      <w:sz w:val="24"/>
      <w:szCs w:val="24"/>
    </w:rPr>
  </w:style>
  <w:style w:type="character" w:customStyle="1" w:styleId="39">
    <w:name w:val="文档结构图 字符"/>
    <w:basedOn w:val="27"/>
    <w:link w:val="10"/>
    <w:semiHidden/>
    <w:qFormat/>
    <w:uiPriority w:val="99"/>
    <w:rPr>
      <w:rFonts w:ascii="宋体" w:eastAsia="宋体"/>
      <w:sz w:val="18"/>
      <w:szCs w:val="18"/>
    </w:rPr>
  </w:style>
  <w:style w:type="paragraph" w:customStyle="1" w:styleId="40">
    <w:name w:val="FL标题1"/>
    <w:basedOn w:val="1"/>
    <w:link w:val="42"/>
    <w:qFormat/>
    <w:uiPriority w:val="0"/>
    <w:pPr>
      <w:spacing w:beforeLines="200" w:afterLines="300"/>
      <w:jc w:val="center"/>
      <w:outlineLvl w:val="0"/>
    </w:pPr>
    <w:rPr>
      <w:rFonts w:ascii="黑体" w:hAnsi="黑体" w:eastAsia="黑体"/>
      <w:b/>
      <w:color w:val="E36C09" w:themeColor="accent6" w:themeShade="BF"/>
      <w:sz w:val="44"/>
      <w:szCs w:val="44"/>
    </w:rPr>
  </w:style>
  <w:style w:type="paragraph" w:customStyle="1" w:styleId="41">
    <w:name w:val="List Paragraph"/>
    <w:basedOn w:val="1"/>
    <w:qFormat/>
    <w:uiPriority w:val="99"/>
    <w:pPr>
      <w:ind w:firstLine="420" w:firstLineChars="200"/>
    </w:pPr>
  </w:style>
  <w:style w:type="character" w:customStyle="1" w:styleId="42">
    <w:name w:val="FL标题1 Char"/>
    <w:basedOn w:val="27"/>
    <w:link w:val="40"/>
    <w:qFormat/>
    <w:uiPriority w:val="0"/>
    <w:rPr>
      <w:rFonts w:ascii="黑体" w:hAnsi="黑体" w:eastAsia="黑体"/>
      <w:b/>
      <w:color w:val="E36C09" w:themeColor="accent6" w:themeShade="BF"/>
      <w:sz w:val="44"/>
      <w:szCs w:val="44"/>
    </w:rPr>
  </w:style>
  <w:style w:type="paragraph" w:customStyle="1" w:styleId="43">
    <w:name w:val="FL标题2"/>
    <w:basedOn w:val="1"/>
    <w:link w:val="45"/>
    <w:qFormat/>
    <w:uiPriority w:val="0"/>
    <w:pPr>
      <w:topLinePunct/>
      <w:spacing w:beforeLines="100" w:afterLines="50"/>
      <w:outlineLvl w:val="1"/>
    </w:pPr>
    <w:rPr>
      <w:b/>
      <w:color w:val="E36C09" w:themeColor="accent6" w:themeShade="BF"/>
      <w:sz w:val="32"/>
      <w:szCs w:val="32"/>
    </w:rPr>
  </w:style>
  <w:style w:type="paragraph" w:customStyle="1" w:styleId="44">
    <w:name w:val="FL标题3"/>
    <w:basedOn w:val="1"/>
    <w:link w:val="47"/>
    <w:qFormat/>
    <w:uiPriority w:val="0"/>
    <w:pPr>
      <w:topLinePunct/>
      <w:spacing w:beforeLines="50"/>
      <w:outlineLvl w:val="2"/>
    </w:pPr>
    <w:rPr>
      <w:rFonts w:eastAsia="黑体"/>
      <w:sz w:val="28"/>
      <w:szCs w:val="28"/>
    </w:rPr>
  </w:style>
  <w:style w:type="character" w:customStyle="1" w:styleId="45">
    <w:name w:val="FL标题2 Char"/>
    <w:basedOn w:val="27"/>
    <w:link w:val="43"/>
    <w:qFormat/>
    <w:uiPriority w:val="0"/>
    <w:rPr>
      <w:b/>
      <w:color w:val="E36C09" w:themeColor="accent6" w:themeShade="BF"/>
      <w:sz w:val="32"/>
      <w:szCs w:val="32"/>
    </w:rPr>
  </w:style>
  <w:style w:type="character" w:customStyle="1" w:styleId="46">
    <w:name w:val="标题 1 字符"/>
    <w:basedOn w:val="27"/>
    <w:link w:val="2"/>
    <w:qFormat/>
    <w:uiPriority w:val="9"/>
    <w:rPr>
      <w:b/>
      <w:bCs/>
      <w:kern w:val="44"/>
      <w:sz w:val="44"/>
      <w:szCs w:val="44"/>
    </w:rPr>
  </w:style>
  <w:style w:type="character" w:customStyle="1" w:styleId="47">
    <w:name w:val="FL标题3 Char"/>
    <w:basedOn w:val="27"/>
    <w:link w:val="44"/>
    <w:qFormat/>
    <w:uiPriority w:val="0"/>
    <w:rPr>
      <w:rFonts w:eastAsia="黑体"/>
      <w:sz w:val="28"/>
      <w:szCs w:val="28"/>
    </w:rPr>
  </w:style>
  <w:style w:type="character" w:customStyle="1" w:styleId="48">
    <w:name w:val="标题 2 字符"/>
    <w:basedOn w:val="27"/>
    <w:link w:val="3"/>
    <w:qFormat/>
    <w:uiPriority w:val="9"/>
    <w:rPr>
      <w:rFonts w:asciiTheme="majorHAnsi" w:hAnsiTheme="majorHAnsi" w:eastAsiaTheme="majorEastAsia" w:cstheme="majorBidi"/>
      <w:b/>
      <w:bCs/>
      <w:sz w:val="32"/>
      <w:szCs w:val="32"/>
    </w:rPr>
  </w:style>
  <w:style w:type="character" w:customStyle="1" w:styleId="49">
    <w:name w:val="标题 3 字符"/>
    <w:basedOn w:val="27"/>
    <w:link w:val="4"/>
    <w:qFormat/>
    <w:uiPriority w:val="9"/>
    <w:rPr>
      <w:b/>
      <w:bCs/>
      <w:sz w:val="32"/>
      <w:szCs w:val="32"/>
    </w:rPr>
  </w:style>
  <w:style w:type="paragraph" w:customStyle="1" w:styleId="50">
    <w:name w:val="No Spacing"/>
    <w:link w:val="51"/>
    <w:qFormat/>
    <w:uiPriority w:val="1"/>
    <w:pPr>
      <w:widowControl w:val="0"/>
      <w:jc w:val="both"/>
    </w:pPr>
    <w:rPr>
      <w:rFonts w:ascii="Times New Roman" w:hAnsi="Times New Roman" w:eastAsiaTheme="minorEastAsia" w:cstheme="minorBidi"/>
      <w:kern w:val="2"/>
      <w:sz w:val="21"/>
      <w:szCs w:val="22"/>
      <w:lang w:val="en-US" w:eastAsia="zh-CN" w:bidi="ar-SA"/>
    </w:rPr>
  </w:style>
  <w:style w:type="character" w:customStyle="1" w:styleId="51">
    <w:name w:val="无间隔 字符"/>
    <w:basedOn w:val="27"/>
    <w:link w:val="50"/>
    <w:qFormat/>
    <w:uiPriority w:val="1"/>
    <w:rPr>
      <w:rFonts w:ascii="Times New Roman" w:hAnsi="Times New Roman"/>
    </w:rPr>
  </w:style>
  <w:style w:type="paragraph" w:customStyle="1" w:styleId="52">
    <w:name w:val="FL表格文本"/>
    <w:basedOn w:val="50"/>
    <w:link w:val="54"/>
    <w:qFormat/>
    <w:uiPriority w:val="0"/>
    <w:rPr>
      <w:rFonts w:eastAsia="宋体"/>
    </w:rPr>
  </w:style>
  <w:style w:type="paragraph" w:customStyle="1" w:styleId="53">
    <w:name w:val="FL表标题"/>
    <w:basedOn w:val="50"/>
    <w:link w:val="56"/>
    <w:qFormat/>
    <w:uiPriority w:val="0"/>
    <w:pPr>
      <w:numPr>
        <w:ilvl w:val="0"/>
        <w:numId w:val="1"/>
      </w:numPr>
      <w:spacing w:beforeLines="100" w:afterLines="50"/>
      <w:jc w:val="center"/>
    </w:pPr>
    <w:rPr>
      <w:rFonts w:eastAsia="宋体"/>
      <w:color w:val="E36C09" w:themeColor="accent6" w:themeShade="BF"/>
    </w:rPr>
  </w:style>
  <w:style w:type="character" w:customStyle="1" w:styleId="54">
    <w:name w:val="FL表格文本 Char"/>
    <w:basedOn w:val="51"/>
    <w:link w:val="52"/>
    <w:qFormat/>
    <w:uiPriority w:val="0"/>
    <w:rPr>
      <w:rFonts w:ascii="Times New Roman" w:hAnsi="Times New Roman" w:eastAsia="宋体"/>
    </w:rPr>
  </w:style>
  <w:style w:type="paragraph" w:customStyle="1" w:styleId="55">
    <w:name w:val="FL表注"/>
    <w:basedOn w:val="50"/>
    <w:link w:val="57"/>
    <w:qFormat/>
    <w:uiPriority w:val="0"/>
    <w:pPr>
      <w:spacing w:afterLines="100"/>
    </w:pPr>
    <w:rPr>
      <w:sz w:val="18"/>
      <w:szCs w:val="18"/>
    </w:rPr>
  </w:style>
  <w:style w:type="character" w:customStyle="1" w:styleId="56">
    <w:name w:val="FL表标题 Char"/>
    <w:basedOn w:val="51"/>
    <w:link w:val="53"/>
    <w:qFormat/>
    <w:uiPriority w:val="0"/>
    <w:rPr>
      <w:rFonts w:ascii="Times New Roman" w:hAnsi="Times New Roman" w:eastAsia="宋体"/>
      <w:color w:val="E36C09" w:themeColor="accent6" w:themeShade="BF"/>
    </w:rPr>
  </w:style>
  <w:style w:type="character" w:customStyle="1" w:styleId="57">
    <w:name w:val="FL表注 Char"/>
    <w:basedOn w:val="51"/>
    <w:link w:val="55"/>
    <w:uiPriority w:val="0"/>
    <w:rPr>
      <w:rFonts w:ascii="Times New Roman" w:hAnsi="Times New Roman"/>
      <w:sz w:val="18"/>
      <w:szCs w:val="18"/>
    </w:rPr>
  </w:style>
  <w:style w:type="character" w:customStyle="1" w:styleId="58">
    <w:name w:val="批注框文本 字符"/>
    <w:basedOn w:val="27"/>
    <w:link w:val="16"/>
    <w:semiHidden/>
    <w:qFormat/>
    <w:uiPriority w:val="0"/>
    <w:rPr>
      <w:sz w:val="18"/>
      <w:szCs w:val="18"/>
    </w:rPr>
  </w:style>
  <w:style w:type="paragraph" w:customStyle="1" w:styleId="59">
    <w:name w:val="FL图标题"/>
    <w:basedOn w:val="50"/>
    <w:link w:val="61"/>
    <w:qFormat/>
    <w:uiPriority w:val="0"/>
    <w:pPr>
      <w:numPr>
        <w:ilvl w:val="0"/>
        <w:numId w:val="2"/>
      </w:numPr>
      <w:spacing w:beforeLines="50" w:afterLines="100"/>
      <w:jc w:val="center"/>
    </w:pPr>
    <w:rPr>
      <w:color w:val="E36C09" w:themeColor="accent6" w:themeShade="BF"/>
    </w:rPr>
  </w:style>
  <w:style w:type="paragraph" w:customStyle="1" w:styleId="60">
    <w:name w:val="FL图"/>
    <w:basedOn w:val="50"/>
    <w:link w:val="62"/>
    <w:qFormat/>
    <w:uiPriority w:val="0"/>
    <w:pPr>
      <w:jc w:val="center"/>
    </w:pPr>
  </w:style>
  <w:style w:type="character" w:customStyle="1" w:styleId="61">
    <w:name w:val="FL图标题 Char"/>
    <w:basedOn w:val="51"/>
    <w:link w:val="59"/>
    <w:qFormat/>
    <w:uiPriority w:val="0"/>
    <w:rPr>
      <w:rFonts w:ascii="Times New Roman" w:hAnsi="Times New Roman"/>
      <w:color w:val="E36C09" w:themeColor="accent6" w:themeShade="BF"/>
    </w:rPr>
  </w:style>
  <w:style w:type="character" w:customStyle="1" w:styleId="62">
    <w:name w:val="FL图 Char"/>
    <w:basedOn w:val="51"/>
    <w:link w:val="60"/>
    <w:qFormat/>
    <w:uiPriority w:val="0"/>
    <w:rPr>
      <w:rFonts w:ascii="Times New Roman" w:hAnsi="Times New Roman"/>
    </w:rPr>
  </w:style>
  <w:style w:type="character" w:customStyle="1" w:styleId="63">
    <w:name w:val="批注文字 字符"/>
    <w:basedOn w:val="27"/>
    <w:link w:val="7"/>
    <w:qFormat/>
    <w:uiPriority w:val="0"/>
    <w:rPr>
      <w:rFonts w:ascii="Times New Roman" w:hAnsi="Times New Roman" w:eastAsia="宋体" w:cs="Times New Roman"/>
    </w:rPr>
  </w:style>
  <w:style w:type="paragraph" w:customStyle="1" w:styleId="6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360" w:lineRule="auto"/>
      <w:ind w:firstLine="200" w:firstLineChars="200"/>
      <w:jc w:val="left"/>
    </w:pPr>
    <w:rPr>
      <w:rFonts w:ascii="宋体" w:hAnsi="宋体" w:eastAsia="宋体" w:cs="宋体"/>
      <w:kern w:val="0"/>
      <w:szCs w:val="21"/>
    </w:rPr>
  </w:style>
  <w:style w:type="character" w:customStyle="1" w:styleId="65">
    <w:name w:val="标题 5 字符"/>
    <w:basedOn w:val="27"/>
    <w:link w:val="5"/>
    <w:uiPriority w:val="0"/>
    <w:rPr>
      <w:rFonts w:ascii="Times New Roman" w:hAnsi="Times New Roman" w:eastAsia="宋体" w:cs="Times New Roman"/>
      <w:b/>
      <w:bCs/>
      <w:sz w:val="28"/>
      <w:szCs w:val="28"/>
    </w:rPr>
  </w:style>
  <w:style w:type="character" w:customStyle="1" w:styleId="66">
    <w:name w:val="日期 字符"/>
    <w:basedOn w:val="27"/>
    <w:link w:val="14"/>
    <w:semiHidden/>
    <w:qFormat/>
    <w:uiPriority w:val="99"/>
  </w:style>
  <w:style w:type="paragraph" w:customStyle="1" w:styleId="67">
    <w:name w:val="FL标题4"/>
    <w:basedOn w:val="44"/>
    <w:link w:val="68"/>
    <w:qFormat/>
    <w:uiPriority w:val="0"/>
    <w:pPr>
      <w:spacing w:beforeLines="0"/>
      <w:outlineLvl w:val="3"/>
    </w:pPr>
    <w:rPr>
      <w:kern w:val="0"/>
    </w:rPr>
  </w:style>
  <w:style w:type="character" w:customStyle="1" w:styleId="68">
    <w:name w:val="FL标题4 Char"/>
    <w:basedOn w:val="47"/>
    <w:link w:val="67"/>
    <w:qFormat/>
    <w:uiPriority w:val="0"/>
    <w:rPr>
      <w:rFonts w:eastAsia="黑体"/>
      <w:kern w:val="0"/>
      <w:sz w:val="28"/>
      <w:szCs w:val="28"/>
    </w:rPr>
  </w:style>
  <w:style w:type="table" w:customStyle="1" w:styleId="69">
    <w:name w:val="浅色底纹1"/>
    <w:basedOn w:val="33"/>
    <w:qFormat/>
    <w:uiPriority w:val="0"/>
    <w:rPr>
      <w:color w:val="000000" w:themeColor="text1" w:themeShade="BF"/>
    </w:rPr>
    <w:tblPr>
      <w:tblBorders>
        <w:top w:val="single" w:color="000000" w:themeColor="text1" w:sz="8" w:space="0"/>
        <w:bottom w:val="single" w:color="000000" w:themeColor="text1" w:sz="8" w:space="0"/>
      </w:tblBorders>
      <w:tblLayout w:type="fixed"/>
    </w:tblPr>
    <w:tblStylePr w:type="fir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BFBFBF" w:themeFill="text1" w:themeFillTint="3F"/>
      </w:tcPr>
    </w:tblStylePr>
    <w:tblStylePr w:type="band1Horz">
      <w:tblPr>
        <w:tblLayout w:type="fixed"/>
      </w:tblPr>
      <w:tcPr>
        <w:tcBorders>
          <w:left w:val="nil"/>
          <w:right w:val="nil"/>
          <w:insideH w:val="nil"/>
          <w:insideV w:val="nil"/>
        </w:tcBorders>
        <w:shd w:val="clear" w:color="auto" w:fill="BFBFBF" w:themeFill="text1" w:themeFillTint="3F"/>
      </w:tcPr>
    </w:tblStylePr>
  </w:style>
  <w:style w:type="paragraph" w:customStyle="1" w:styleId="70">
    <w:name w:val="FL标题5"/>
    <w:basedOn w:val="67"/>
    <w:next w:val="37"/>
    <w:link w:val="71"/>
    <w:qFormat/>
    <w:uiPriority w:val="0"/>
    <w:pPr>
      <w:spacing w:line="300" w:lineRule="auto"/>
      <w:outlineLvl w:val="4"/>
    </w:pPr>
    <w:rPr>
      <w:rFonts w:ascii="黑体" w:hAnsi="黑体" w:cs="Times New Roman"/>
      <w:kern w:val="2"/>
      <w:sz w:val="24"/>
      <w:szCs w:val="24"/>
    </w:rPr>
  </w:style>
  <w:style w:type="character" w:customStyle="1" w:styleId="71">
    <w:name w:val="FL标题5 Char"/>
    <w:basedOn w:val="68"/>
    <w:link w:val="70"/>
    <w:qFormat/>
    <w:uiPriority w:val="0"/>
    <w:rPr>
      <w:rFonts w:ascii="黑体" w:hAnsi="黑体" w:eastAsia="黑体" w:cs="Times New Roman"/>
      <w:kern w:val="0"/>
      <w:sz w:val="24"/>
      <w:szCs w:val="24"/>
    </w:rPr>
  </w:style>
  <w:style w:type="character" w:customStyle="1" w:styleId="72">
    <w:name w:val="脚注文本 字符"/>
    <w:basedOn w:val="27"/>
    <w:link w:val="22"/>
    <w:semiHidden/>
    <w:qFormat/>
    <w:uiPriority w:val="99"/>
    <w:rPr>
      <w:sz w:val="18"/>
      <w:szCs w:val="18"/>
    </w:rPr>
  </w:style>
  <w:style w:type="paragraph" w:customStyle="1" w:styleId="73">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74">
    <w:name w:val="批注主题 字符"/>
    <w:basedOn w:val="63"/>
    <w:link w:val="6"/>
    <w:qFormat/>
    <w:uiPriority w:val="0"/>
    <w:rPr>
      <w:rFonts w:ascii="Calibri" w:hAnsi="Calibri" w:eastAsia="宋体" w:cs="Times New Roman"/>
      <w:b/>
      <w:bCs/>
    </w:rPr>
  </w:style>
  <w:style w:type="paragraph" w:customStyle="1" w:styleId="75">
    <w:name w:val="FL标题6"/>
    <w:basedOn w:val="70"/>
    <w:next w:val="37"/>
    <w:qFormat/>
    <w:uiPriority w:val="0"/>
    <w:pPr>
      <w:outlineLvl w:val="5"/>
    </w:pPr>
  </w:style>
  <w:style w:type="paragraph" w:customStyle="1" w:styleId="76">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7">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78">
    <w:name w:val="xl71"/>
    <w:basedOn w:val="1"/>
    <w:qFormat/>
    <w:uiPriority w:val="0"/>
    <w:pPr>
      <w:widowControl/>
      <w:pBdr>
        <w:top w:val="single" w:color="00B050" w:sz="8" w:space="0"/>
        <w:bottom w:val="single" w:color="00B050" w:sz="8" w:space="0"/>
      </w:pBdr>
      <w:spacing w:before="100" w:beforeAutospacing="1" w:after="100" w:afterAutospacing="1"/>
      <w:jc w:val="left"/>
      <w:textAlignment w:val="top"/>
    </w:pPr>
    <w:rPr>
      <w:rFonts w:ascii="MingLiU" w:hAnsi="MingLiU" w:eastAsia="MingLiU" w:cs="宋体"/>
      <w:color w:val="000000"/>
      <w:kern w:val="0"/>
      <w:sz w:val="18"/>
      <w:szCs w:val="18"/>
    </w:rPr>
  </w:style>
  <w:style w:type="paragraph" w:customStyle="1" w:styleId="79">
    <w:name w:val="xl72"/>
    <w:basedOn w:val="1"/>
    <w:qFormat/>
    <w:uiPriority w:val="0"/>
    <w:pPr>
      <w:widowControl/>
      <w:pBdr>
        <w:top w:val="single" w:color="00B050" w:sz="8" w:space="0"/>
        <w:bottom w:val="single" w:color="00B050" w:sz="8" w:space="0"/>
      </w:pBdr>
      <w:spacing w:before="100" w:beforeAutospacing="1" w:after="100" w:afterAutospacing="1"/>
      <w:jc w:val="right"/>
      <w:textAlignment w:val="top"/>
    </w:pPr>
    <w:rPr>
      <w:rFonts w:ascii="MingLiU" w:hAnsi="MingLiU" w:eastAsia="MingLiU" w:cs="宋体"/>
      <w:color w:val="000000"/>
      <w:kern w:val="0"/>
      <w:sz w:val="18"/>
      <w:szCs w:val="18"/>
    </w:rPr>
  </w:style>
  <w:style w:type="paragraph" w:customStyle="1" w:styleId="80">
    <w:name w:val="xl73"/>
    <w:basedOn w:val="1"/>
    <w:qFormat/>
    <w:uiPriority w:val="0"/>
    <w:pPr>
      <w:widowControl/>
      <w:pBdr>
        <w:top w:val="single" w:color="00B050" w:sz="8" w:space="0"/>
        <w:bottom w:val="single" w:color="00B050" w:sz="8" w:space="0"/>
      </w:pBdr>
      <w:spacing w:before="100" w:beforeAutospacing="1" w:after="100" w:afterAutospacing="1"/>
      <w:jc w:val="left"/>
    </w:pPr>
    <w:rPr>
      <w:rFonts w:ascii="宋体" w:hAnsi="宋体" w:eastAsia="宋体" w:cs="宋体"/>
      <w:kern w:val="0"/>
      <w:sz w:val="24"/>
      <w:szCs w:val="24"/>
    </w:rPr>
  </w:style>
  <w:style w:type="paragraph" w:customStyle="1" w:styleId="81">
    <w:name w:val="xl74"/>
    <w:basedOn w:val="1"/>
    <w:qFormat/>
    <w:uiPriority w:val="0"/>
    <w:pPr>
      <w:widowControl/>
      <w:pBdr>
        <w:top w:val="single" w:color="00B050" w:sz="8" w:space="0"/>
        <w:bottom w:val="single" w:color="00B050" w:sz="12" w:space="0"/>
      </w:pBdr>
      <w:spacing w:before="100" w:beforeAutospacing="1" w:after="100" w:afterAutospacing="1"/>
      <w:jc w:val="left"/>
      <w:textAlignment w:val="top"/>
    </w:pPr>
    <w:rPr>
      <w:rFonts w:ascii="MingLiU" w:hAnsi="MingLiU" w:eastAsia="MingLiU" w:cs="宋体"/>
      <w:color w:val="000000"/>
      <w:kern w:val="0"/>
      <w:sz w:val="18"/>
      <w:szCs w:val="18"/>
    </w:rPr>
  </w:style>
  <w:style w:type="paragraph" w:customStyle="1" w:styleId="82">
    <w:name w:val="xl75"/>
    <w:basedOn w:val="1"/>
    <w:qFormat/>
    <w:uiPriority w:val="0"/>
    <w:pPr>
      <w:widowControl/>
      <w:pBdr>
        <w:top w:val="single" w:color="00B050" w:sz="8" w:space="0"/>
        <w:bottom w:val="single" w:color="00B050" w:sz="12" w:space="0"/>
      </w:pBdr>
      <w:spacing w:before="100" w:beforeAutospacing="1" w:after="100" w:afterAutospacing="1"/>
      <w:jc w:val="right"/>
      <w:textAlignment w:val="top"/>
    </w:pPr>
    <w:rPr>
      <w:rFonts w:ascii="MingLiU" w:hAnsi="MingLiU" w:eastAsia="MingLiU" w:cs="宋体"/>
      <w:color w:val="000000"/>
      <w:kern w:val="0"/>
      <w:sz w:val="18"/>
      <w:szCs w:val="18"/>
    </w:rPr>
  </w:style>
  <w:style w:type="paragraph" w:customStyle="1" w:styleId="83">
    <w:name w:val="xl76"/>
    <w:basedOn w:val="1"/>
    <w:qFormat/>
    <w:uiPriority w:val="0"/>
    <w:pPr>
      <w:widowControl/>
      <w:pBdr>
        <w:top w:val="single" w:color="00B050" w:sz="8" w:space="0"/>
        <w:bottom w:val="single" w:color="00B050" w:sz="12" w:space="0"/>
      </w:pBdr>
      <w:spacing w:before="100" w:beforeAutospacing="1" w:after="100" w:afterAutospacing="1"/>
      <w:jc w:val="left"/>
    </w:pPr>
    <w:rPr>
      <w:rFonts w:ascii="宋体" w:hAnsi="宋体" w:eastAsia="宋体" w:cs="宋体"/>
      <w:kern w:val="0"/>
      <w:sz w:val="24"/>
      <w:szCs w:val="24"/>
    </w:rPr>
  </w:style>
  <w:style w:type="paragraph" w:customStyle="1" w:styleId="84">
    <w:name w:val="xl77"/>
    <w:basedOn w:val="1"/>
    <w:qFormat/>
    <w:uiPriority w:val="0"/>
    <w:pPr>
      <w:widowControl/>
      <w:pBdr>
        <w:top w:val="single" w:color="00B050" w:sz="8" w:space="0"/>
        <w:bottom w:val="single" w:color="00B050" w:sz="8" w:space="0"/>
      </w:pBdr>
      <w:spacing w:before="100" w:beforeAutospacing="1" w:after="100" w:afterAutospacing="1"/>
      <w:jc w:val="center"/>
      <w:textAlignment w:val="top"/>
    </w:pPr>
    <w:rPr>
      <w:rFonts w:ascii="MingLiU" w:hAnsi="MingLiU" w:eastAsia="MingLiU" w:cs="宋体"/>
      <w:color w:val="000000"/>
      <w:kern w:val="0"/>
      <w:sz w:val="18"/>
      <w:szCs w:val="18"/>
    </w:rPr>
  </w:style>
  <w:style w:type="paragraph" w:customStyle="1" w:styleId="85">
    <w:name w:val="xl78"/>
    <w:basedOn w:val="1"/>
    <w:qFormat/>
    <w:uiPriority w:val="0"/>
    <w:pPr>
      <w:widowControl/>
      <w:pBdr>
        <w:top w:val="single" w:color="00B050" w:sz="12" w:space="0"/>
        <w:bottom w:val="single" w:color="00B050" w:sz="8" w:space="0"/>
      </w:pBdr>
      <w:spacing w:before="100" w:beforeAutospacing="1" w:after="100" w:afterAutospacing="1"/>
      <w:jc w:val="center"/>
      <w:textAlignment w:val="top"/>
    </w:pPr>
    <w:rPr>
      <w:rFonts w:ascii="MingLiU" w:hAnsi="MingLiU" w:eastAsia="MingLiU" w:cs="宋体"/>
      <w:color w:val="000000"/>
      <w:kern w:val="0"/>
      <w:sz w:val="18"/>
      <w:szCs w:val="18"/>
    </w:rPr>
  </w:style>
  <w:style w:type="paragraph" w:customStyle="1" w:styleId="86">
    <w:name w:val="xl79"/>
    <w:basedOn w:val="1"/>
    <w:qFormat/>
    <w:uiPriority w:val="0"/>
    <w:pPr>
      <w:widowControl/>
      <w:pBdr>
        <w:top w:val="single" w:color="00B050" w:sz="12" w:space="0"/>
        <w:bottom w:val="single" w:color="00B050" w:sz="8" w:space="0"/>
      </w:pBdr>
      <w:spacing w:before="100" w:beforeAutospacing="1" w:after="100" w:afterAutospacing="1"/>
      <w:jc w:val="center"/>
      <w:textAlignment w:val="bottom"/>
    </w:pPr>
    <w:rPr>
      <w:rFonts w:ascii="MingLiU" w:hAnsi="MingLiU" w:eastAsia="MingLiU" w:cs="宋体"/>
      <w:color w:val="000000"/>
      <w:kern w:val="0"/>
      <w:sz w:val="18"/>
      <w:szCs w:val="18"/>
    </w:rPr>
  </w:style>
  <w:style w:type="paragraph" w:customStyle="1" w:styleId="87">
    <w:name w:val="xl80"/>
    <w:basedOn w:val="1"/>
    <w:qFormat/>
    <w:uiPriority w:val="0"/>
    <w:pPr>
      <w:widowControl/>
      <w:pBdr>
        <w:top w:val="single" w:color="00B050" w:sz="8" w:space="0"/>
        <w:bottom w:val="single" w:color="00B050" w:sz="8" w:space="0"/>
      </w:pBdr>
      <w:spacing w:before="100" w:beforeAutospacing="1" w:after="100" w:afterAutospacing="1"/>
      <w:jc w:val="center"/>
      <w:textAlignment w:val="bottom"/>
    </w:pPr>
    <w:rPr>
      <w:rFonts w:ascii="MingLiU" w:hAnsi="MingLiU" w:eastAsia="MingLiU" w:cs="宋体"/>
      <w:color w:val="000000"/>
      <w:kern w:val="0"/>
      <w:sz w:val="18"/>
      <w:szCs w:val="18"/>
    </w:rPr>
  </w:style>
  <w:style w:type="character" w:customStyle="1" w:styleId="88">
    <w:name w:val="副标题 字符"/>
    <w:basedOn w:val="27"/>
    <w:link w:val="21"/>
    <w:qFormat/>
    <w:uiPriority w:val="11"/>
    <w:rPr>
      <w:rFonts w:eastAsia="宋体" w:asciiTheme="majorHAnsi" w:hAnsiTheme="majorHAnsi" w:cstheme="majorBidi"/>
      <w:b/>
      <w:bCs/>
      <w:kern w:val="28"/>
      <w:sz w:val="32"/>
      <w:szCs w:val="32"/>
    </w:rPr>
  </w:style>
  <w:style w:type="paragraph" w:customStyle="1" w:styleId="8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0">
    <w:name w:val="xl70"/>
    <w:basedOn w:val="1"/>
    <w:qFormat/>
    <w:uiPriority w:val="0"/>
    <w:pPr>
      <w:widowControl/>
      <w:spacing w:before="100" w:beforeAutospacing="1" w:after="100" w:afterAutospacing="1"/>
      <w:jc w:val="center"/>
    </w:pPr>
    <w:rPr>
      <w:rFonts w:ascii="Times New Roman" w:hAnsi="Times New Roman" w:eastAsia="宋体" w:cs="Times New Roman"/>
      <w:kern w:val="0"/>
      <w:szCs w:val="21"/>
    </w:rPr>
  </w:style>
  <w:style w:type="paragraph" w:customStyle="1" w:styleId="91">
    <w:name w:val="xl81"/>
    <w:basedOn w:val="1"/>
    <w:qFormat/>
    <w:uiPriority w:val="0"/>
    <w:pPr>
      <w:widowControl/>
      <w:pBdr>
        <w:top w:val="single" w:color="00B050" w:sz="8" w:space="0"/>
        <w:left w:val="single" w:color="00B050" w:sz="4" w:space="0"/>
        <w:bottom w:val="single" w:color="00B050" w:sz="12" w:space="0"/>
      </w:pBdr>
      <w:spacing w:before="100" w:beforeAutospacing="1" w:after="100" w:afterAutospacing="1"/>
      <w:jc w:val="center"/>
    </w:pPr>
    <w:rPr>
      <w:rFonts w:ascii="宋体" w:hAnsi="宋体" w:eastAsia="宋体" w:cs="宋体"/>
      <w:kern w:val="0"/>
      <w:sz w:val="24"/>
      <w:szCs w:val="24"/>
    </w:rPr>
  </w:style>
  <w:style w:type="paragraph" w:customStyle="1" w:styleId="92">
    <w:name w:val="xl82"/>
    <w:basedOn w:val="1"/>
    <w:qFormat/>
    <w:uiPriority w:val="0"/>
    <w:pPr>
      <w:widowControl/>
      <w:spacing w:before="100" w:beforeAutospacing="1" w:after="100" w:afterAutospacing="1"/>
      <w:jc w:val="center"/>
    </w:pPr>
    <w:rPr>
      <w:rFonts w:ascii="Times New Roman" w:hAnsi="Times New Roman" w:eastAsia="宋体" w:cs="Times New Roman"/>
      <w:kern w:val="0"/>
      <w:szCs w:val="21"/>
    </w:rPr>
  </w:style>
  <w:style w:type="paragraph" w:customStyle="1" w:styleId="93">
    <w:name w:val="xl84"/>
    <w:basedOn w:val="1"/>
    <w:qFormat/>
    <w:uiPriority w:val="0"/>
    <w:pPr>
      <w:widowControl/>
      <w:spacing w:before="100" w:beforeAutospacing="1" w:after="100" w:afterAutospacing="1"/>
      <w:jc w:val="left"/>
    </w:pPr>
    <w:rPr>
      <w:rFonts w:ascii="Calibri" w:hAnsi="Calibri" w:eastAsia="宋体" w:cs="宋体"/>
      <w:kern w:val="0"/>
      <w:szCs w:val="21"/>
    </w:rPr>
  </w:style>
  <w:style w:type="paragraph" w:customStyle="1" w:styleId="94">
    <w:name w:val="xl85"/>
    <w:basedOn w:val="1"/>
    <w:qFormat/>
    <w:uiPriority w:val="0"/>
    <w:pPr>
      <w:widowControl/>
      <w:pBdr>
        <w:left w:val="single" w:color="00B050"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95">
    <w:name w:val="xl86"/>
    <w:basedOn w:val="1"/>
    <w:qFormat/>
    <w:uiPriority w:val="0"/>
    <w:pPr>
      <w:widowControl/>
      <w:pBdr>
        <w:left w:val="single" w:color="00B050" w:sz="4" w:space="0"/>
        <w:bottom w:val="single" w:color="00B050" w:sz="12" w:space="0"/>
      </w:pBdr>
      <w:spacing w:before="100" w:beforeAutospacing="1" w:after="100" w:afterAutospacing="1"/>
      <w:jc w:val="center"/>
    </w:pPr>
    <w:rPr>
      <w:rFonts w:ascii="Times New Roman" w:hAnsi="Times New Roman" w:eastAsia="宋体" w:cs="Times New Roman"/>
      <w:kern w:val="0"/>
      <w:szCs w:val="21"/>
    </w:rPr>
  </w:style>
  <w:style w:type="table" w:customStyle="1" w:styleId="96">
    <w:name w:val="样式1"/>
    <w:basedOn w:val="33"/>
    <w:qFormat/>
    <w:uiPriority w:val="99"/>
    <w:tblPr>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Pr>
  </w:style>
  <w:style w:type="character" w:customStyle="1" w:styleId="97">
    <w:name w:val="10"/>
    <w:basedOn w:val="27"/>
    <w:qFormat/>
    <w:uiPriority w:val="0"/>
    <w:rPr>
      <w:rFonts w:hint="default" w:ascii="Times New Roman" w:hAnsi="Times New Roman" w:cs="Times New Roman"/>
    </w:rPr>
  </w:style>
  <w:style w:type="character" w:customStyle="1" w:styleId="98">
    <w:name w:val="15"/>
    <w:basedOn w:val="27"/>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chart" Target="charts/chart90.xml"/><Relationship Id="rId98" Type="http://schemas.openxmlformats.org/officeDocument/2006/relationships/chart" Target="charts/chart89.xml"/><Relationship Id="rId97" Type="http://schemas.openxmlformats.org/officeDocument/2006/relationships/chart" Target="charts/chart88.xml"/><Relationship Id="rId96" Type="http://schemas.openxmlformats.org/officeDocument/2006/relationships/chart" Target="charts/chart87.xml"/><Relationship Id="rId95" Type="http://schemas.openxmlformats.org/officeDocument/2006/relationships/chart" Target="charts/chart86.xml"/><Relationship Id="rId94" Type="http://schemas.openxmlformats.org/officeDocument/2006/relationships/chart" Target="charts/chart85.xml"/><Relationship Id="rId93" Type="http://schemas.openxmlformats.org/officeDocument/2006/relationships/chart" Target="charts/chart84.xml"/><Relationship Id="rId92" Type="http://schemas.openxmlformats.org/officeDocument/2006/relationships/chart" Target="charts/chart83.xml"/><Relationship Id="rId91" Type="http://schemas.openxmlformats.org/officeDocument/2006/relationships/chart" Target="charts/chart82.xml"/><Relationship Id="rId90" Type="http://schemas.openxmlformats.org/officeDocument/2006/relationships/chart" Target="charts/chart81.xml"/><Relationship Id="rId9" Type="http://schemas.openxmlformats.org/officeDocument/2006/relationships/image" Target="media/image1.jpeg"/><Relationship Id="rId89" Type="http://schemas.openxmlformats.org/officeDocument/2006/relationships/chart" Target="charts/chart80.xml"/><Relationship Id="rId88" Type="http://schemas.openxmlformats.org/officeDocument/2006/relationships/chart" Target="charts/chart79.xml"/><Relationship Id="rId87" Type="http://schemas.openxmlformats.org/officeDocument/2006/relationships/chart" Target="charts/chart78.xml"/><Relationship Id="rId86" Type="http://schemas.openxmlformats.org/officeDocument/2006/relationships/chart" Target="charts/chart77.xml"/><Relationship Id="rId85" Type="http://schemas.openxmlformats.org/officeDocument/2006/relationships/chart" Target="charts/chart76.xml"/><Relationship Id="rId84" Type="http://schemas.openxmlformats.org/officeDocument/2006/relationships/chart" Target="charts/chart75.xml"/><Relationship Id="rId83" Type="http://schemas.openxmlformats.org/officeDocument/2006/relationships/chart" Target="charts/chart74.xml"/><Relationship Id="rId82" Type="http://schemas.openxmlformats.org/officeDocument/2006/relationships/chart" Target="charts/chart73.xml"/><Relationship Id="rId81" Type="http://schemas.openxmlformats.org/officeDocument/2006/relationships/chart" Target="charts/chart72.xml"/><Relationship Id="rId80" Type="http://schemas.openxmlformats.org/officeDocument/2006/relationships/chart" Target="charts/chart71.xml"/><Relationship Id="rId8" Type="http://schemas.openxmlformats.org/officeDocument/2006/relationships/theme" Target="theme/theme1.xml"/><Relationship Id="rId79" Type="http://schemas.openxmlformats.org/officeDocument/2006/relationships/chart" Target="charts/chart70.xml"/><Relationship Id="rId78" Type="http://schemas.openxmlformats.org/officeDocument/2006/relationships/chart" Target="charts/chart69.xml"/><Relationship Id="rId77" Type="http://schemas.openxmlformats.org/officeDocument/2006/relationships/chart" Target="charts/chart68.xml"/><Relationship Id="rId76" Type="http://schemas.openxmlformats.org/officeDocument/2006/relationships/chart" Target="charts/chart67.xml"/><Relationship Id="rId75" Type="http://schemas.openxmlformats.org/officeDocument/2006/relationships/chart" Target="charts/chart66.xml"/><Relationship Id="rId74" Type="http://schemas.openxmlformats.org/officeDocument/2006/relationships/chart" Target="charts/chart65.xml"/><Relationship Id="rId73" Type="http://schemas.openxmlformats.org/officeDocument/2006/relationships/chart" Target="charts/chart64.xml"/><Relationship Id="rId72" Type="http://schemas.openxmlformats.org/officeDocument/2006/relationships/chart" Target="charts/chart63.xml"/><Relationship Id="rId71" Type="http://schemas.openxmlformats.org/officeDocument/2006/relationships/chart" Target="charts/chart62.xml"/><Relationship Id="rId70" Type="http://schemas.openxmlformats.org/officeDocument/2006/relationships/chart" Target="charts/chart61.xml"/><Relationship Id="rId7" Type="http://schemas.openxmlformats.org/officeDocument/2006/relationships/footer" Target="footer4.xml"/><Relationship Id="rId69" Type="http://schemas.openxmlformats.org/officeDocument/2006/relationships/chart" Target="charts/chart60.xml"/><Relationship Id="rId68" Type="http://schemas.openxmlformats.org/officeDocument/2006/relationships/chart" Target="charts/chart59.xml"/><Relationship Id="rId67" Type="http://schemas.openxmlformats.org/officeDocument/2006/relationships/chart" Target="charts/chart58.xml"/><Relationship Id="rId66" Type="http://schemas.openxmlformats.org/officeDocument/2006/relationships/chart" Target="charts/chart57.xml"/><Relationship Id="rId65" Type="http://schemas.openxmlformats.org/officeDocument/2006/relationships/chart" Target="charts/chart56.xml"/><Relationship Id="rId64" Type="http://schemas.openxmlformats.org/officeDocument/2006/relationships/chart" Target="charts/chart55.xml"/><Relationship Id="rId63" Type="http://schemas.openxmlformats.org/officeDocument/2006/relationships/chart" Target="charts/chart54.xml"/><Relationship Id="rId62" Type="http://schemas.openxmlformats.org/officeDocument/2006/relationships/chart" Target="charts/chart53.xml"/><Relationship Id="rId61" Type="http://schemas.openxmlformats.org/officeDocument/2006/relationships/chart" Target="charts/chart52.xml"/><Relationship Id="rId60" Type="http://schemas.openxmlformats.org/officeDocument/2006/relationships/chart" Target="charts/chart51.xml"/><Relationship Id="rId6" Type="http://schemas.openxmlformats.org/officeDocument/2006/relationships/footer" Target="footer3.xml"/><Relationship Id="rId59" Type="http://schemas.openxmlformats.org/officeDocument/2006/relationships/chart" Target="charts/chart50.xml"/><Relationship Id="rId58" Type="http://schemas.openxmlformats.org/officeDocument/2006/relationships/chart" Target="charts/chart49.xml"/><Relationship Id="rId57" Type="http://schemas.openxmlformats.org/officeDocument/2006/relationships/chart" Target="charts/chart48.xml"/><Relationship Id="rId56" Type="http://schemas.openxmlformats.org/officeDocument/2006/relationships/chart" Target="charts/chart47.xml"/><Relationship Id="rId55" Type="http://schemas.openxmlformats.org/officeDocument/2006/relationships/chart" Target="charts/chart46.xml"/><Relationship Id="rId54" Type="http://schemas.openxmlformats.org/officeDocument/2006/relationships/chart" Target="charts/chart45.xml"/><Relationship Id="rId53" Type="http://schemas.openxmlformats.org/officeDocument/2006/relationships/chart" Target="charts/chart44.xml"/><Relationship Id="rId52" Type="http://schemas.openxmlformats.org/officeDocument/2006/relationships/chart" Target="charts/chart43.xml"/><Relationship Id="rId51" Type="http://schemas.openxmlformats.org/officeDocument/2006/relationships/chart" Target="charts/chart42.xml"/><Relationship Id="rId50" Type="http://schemas.openxmlformats.org/officeDocument/2006/relationships/chart" Target="charts/chart41.xml"/><Relationship Id="rId5" Type="http://schemas.openxmlformats.org/officeDocument/2006/relationships/footer" Target="footer2.xml"/><Relationship Id="rId49" Type="http://schemas.openxmlformats.org/officeDocument/2006/relationships/chart" Target="charts/chart40.xml"/><Relationship Id="rId48" Type="http://schemas.openxmlformats.org/officeDocument/2006/relationships/chart" Target="charts/chart39.xml"/><Relationship Id="rId47" Type="http://schemas.openxmlformats.org/officeDocument/2006/relationships/chart" Target="charts/chart38.xml"/><Relationship Id="rId46" Type="http://schemas.openxmlformats.org/officeDocument/2006/relationships/chart" Target="charts/chart37.xml"/><Relationship Id="rId45" Type="http://schemas.openxmlformats.org/officeDocument/2006/relationships/chart" Target="charts/chart36.xml"/><Relationship Id="rId44" Type="http://schemas.openxmlformats.org/officeDocument/2006/relationships/chart" Target="charts/chart35.xml"/><Relationship Id="rId43" Type="http://schemas.openxmlformats.org/officeDocument/2006/relationships/chart" Target="charts/chart34.xml"/><Relationship Id="rId42" Type="http://schemas.openxmlformats.org/officeDocument/2006/relationships/chart" Target="charts/chart33.xml"/><Relationship Id="rId41" Type="http://schemas.openxmlformats.org/officeDocument/2006/relationships/chart" Target="charts/chart32.xml"/><Relationship Id="rId40" Type="http://schemas.openxmlformats.org/officeDocument/2006/relationships/chart" Target="charts/chart31.xml"/><Relationship Id="rId4" Type="http://schemas.openxmlformats.org/officeDocument/2006/relationships/footer" Target="footer1.xml"/><Relationship Id="rId39" Type="http://schemas.openxmlformats.org/officeDocument/2006/relationships/chart" Target="charts/chart30.xml"/><Relationship Id="rId38" Type="http://schemas.openxmlformats.org/officeDocument/2006/relationships/chart" Target="charts/chart29.xml"/><Relationship Id="rId37" Type="http://schemas.openxmlformats.org/officeDocument/2006/relationships/chart" Target="charts/chart28.xml"/><Relationship Id="rId36" Type="http://schemas.openxmlformats.org/officeDocument/2006/relationships/chart" Target="charts/chart27.xml"/><Relationship Id="rId35" Type="http://schemas.openxmlformats.org/officeDocument/2006/relationships/chart" Target="charts/chart26.xml"/><Relationship Id="rId34" Type="http://schemas.openxmlformats.org/officeDocument/2006/relationships/chart" Target="charts/chart25.xml"/><Relationship Id="rId33" Type="http://schemas.openxmlformats.org/officeDocument/2006/relationships/chart" Target="charts/chart24.xml"/><Relationship Id="rId32" Type="http://schemas.openxmlformats.org/officeDocument/2006/relationships/chart" Target="charts/chart23.xml"/><Relationship Id="rId31" Type="http://schemas.openxmlformats.org/officeDocument/2006/relationships/chart" Target="charts/chart22.xml"/><Relationship Id="rId30" Type="http://schemas.openxmlformats.org/officeDocument/2006/relationships/chart" Target="charts/chart21.xml"/><Relationship Id="rId3" Type="http://schemas.openxmlformats.org/officeDocument/2006/relationships/footnotes" Target="footnotes.xml"/><Relationship Id="rId29" Type="http://schemas.openxmlformats.org/officeDocument/2006/relationships/chart" Target="charts/chart20.xml"/><Relationship Id="rId28" Type="http://schemas.openxmlformats.org/officeDocument/2006/relationships/chart" Target="charts/chart19.xml"/><Relationship Id="rId27" Type="http://schemas.openxmlformats.org/officeDocument/2006/relationships/chart" Target="charts/chart18.xml"/><Relationship Id="rId26" Type="http://schemas.openxmlformats.org/officeDocument/2006/relationships/chart" Target="charts/chart17.xml"/><Relationship Id="rId25" Type="http://schemas.openxmlformats.org/officeDocument/2006/relationships/chart" Target="charts/chart16.xml"/><Relationship Id="rId24" Type="http://schemas.openxmlformats.org/officeDocument/2006/relationships/chart" Target="charts/chart15.xml"/><Relationship Id="rId23" Type="http://schemas.openxmlformats.org/officeDocument/2006/relationships/chart" Target="charts/chart14.xml"/><Relationship Id="rId22" Type="http://schemas.openxmlformats.org/officeDocument/2006/relationships/chart" Target="charts/chart13.xml"/><Relationship Id="rId21" Type="http://schemas.openxmlformats.org/officeDocument/2006/relationships/chart" Target="charts/chart12.xml"/><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numbering" Target="numbering.xml"/><Relationship Id="rId18" Type="http://schemas.openxmlformats.org/officeDocument/2006/relationships/chart" Target="charts/chart9.xml"/><Relationship Id="rId179" Type="http://schemas.openxmlformats.org/officeDocument/2006/relationships/customXml" Target="../customXml/item1.xml"/><Relationship Id="rId178" Type="http://schemas.openxmlformats.org/officeDocument/2006/relationships/image" Target="media/image4.png"/><Relationship Id="rId177" Type="http://schemas.openxmlformats.org/officeDocument/2006/relationships/image" Target="media/image3.png"/><Relationship Id="rId176" Type="http://schemas.openxmlformats.org/officeDocument/2006/relationships/image" Target="media/image2.png"/><Relationship Id="rId175" Type="http://schemas.openxmlformats.org/officeDocument/2006/relationships/chart" Target="charts/chart166.xml"/><Relationship Id="rId174" Type="http://schemas.openxmlformats.org/officeDocument/2006/relationships/chart" Target="charts/chart165.xml"/><Relationship Id="rId173" Type="http://schemas.openxmlformats.org/officeDocument/2006/relationships/chart" Target="charts/chart164.xml"/><Relationship Id="rId172" Type="http://schemas.openxmlformats.org/officeDocument/2006/relationships/chart" Target="charts/chart163.xml"/><Relationship Id="rId171" Type="http://schemas.openxmlformats.org/officeDocument/2006/relationships/chart" Target="charts/chart162.xml"/><Relationship Id="rId170" Type="http://schemas.openxmlformats.org/officeDocument/2006/relationships/chart" Target="charts/chart161.xml"/><Relationship Id="rId17" Type="http://schemas.openxmlformats.org/officeDocument/2006/relationships/chart" Target="charts/chart8.xml"/><Relationship Id="rId169" Type="http://schemas.openxmlformats.org/officeDocument/2006/relationships/chart" Target="charts/chart160.xml"/><Relationship Id="rId168" Type="http://schemas.openxmlformats.org/officeDocument/2006/relationships/chart" Target="charts/chart159.xml"/><Relationship Id="rId167" Type="http://schemas.openxmlformats.org/officeDocument/2006/relationships/chart" Target="charts/chart158.xml"/><Relationship Id="rId166" Type="http://schemas.openxmlformats.org/officeDocument/2006/relationships/chart" Target="charts/chart157.xml"/><Relationship Id="rId165" Type="http://schemas.openxmlformats.org/officeDocument/2006/relationships/chart" Target="charts/chart156.xml"/><Relationship Id="rId164" Type="http://schemas.openxmlformats.org/officeDocument/2006/relationships/chart" Target="charts/chart155.xml"/><Relationship Id="rId163" Type="http://schemas.openxmlformats.org/officeDocument/2006/relationships/chart" Target="charts/chart154.xml"/><Relationship Id="rId162" Type="http://schemas.openxmlformats.org/officeDocument/2006/relationships/chart" Target="charts/chart153.xml"/><Relationship Id="rId161" Type="http://schemas.openxmlformats.org/officeDocument/2006/relationships/chart" Target="charts/chart152.xml"/><Relationship Id="rId160" Type="http://schemas.openxmlformats.org/officeDocument/2006/relationships/chart" Target="charts/chart151.xml"/><Relationship Id="rId16" Type="http://schemas.openxmlformats.org/officeDocument/2006/relationships/chart" Target="charts/chart7.xml"/><Relationship Id="rId159" Type="http://schemas.openxmlformats.org/officeDocument/2006/relationships/chart" Target="charts/chart150.xml"/><Relationship Id="rId158" Type="http://schemas.openxmlformats.org/officeDocument/2006/relationships/chart" Target="charts/chart149.xml"/><Relationship Id="rId157" Type="http://schemas.openxmlformats.org/officeDocument/2006/relationships/chart" Target="charts/chart148.xml"/><Relationship Id="rId156" Type="http://schemas.openxmlformats.org/officeDocument/2006/relationships/chart" Target="charts/chart147.xml"/><Relationship Id="rId155" Type="http://schemas.openxmlformats.org/officeDocument/2006/relationships/chart" Target="charts/chart146.xml"/><Relationship Id="rId154" Type="http://schemas.openxmlformats.org/officeDocument/2006/relationships/chart" Target="charts/chart145.xml"/><Relationship Id="rId153" Type="http://schemas.openxmlformats.org/officeDocument/2006/relationships/chart" Target="charts/chart144.xml"/><Relationship Id="rId152" Type="http://schemas.openxmlformats.org/officeDocument/2006/relationships/chart" Target="charts/chart143.xml"/><Relationship Id="rId151" Type="http://schemas.openxmlformats.org/officeDocument/2006/relationships/chart" Target="charts/chart142.xml"/><Relationship Id="rId150" Type="http://schemas.openxmlformats.org/officeDocument/2006/relationships/chart" Target="charts/chart141.xml"/><Relationship Id="rId15" Type="http://schemas.openxmlformats.org/officeDocument/2006/relationships/chart" Target="charts/chart6.xml"/><Relationship Id="rId149" Type="http://schemas.openxmlformats.org/officeDocument/2006/relationships/chart" Target="charts/chart140.xml"/><Relationship Id="rId148" Type="http://schemas.openxmlformats.org/officeDocument/2006/relationships/chart" Target="charts/chart139.xml"/><Relationship Id="rId147" Type="http://schemas.openxmlformats.org/officeDocument/2006/relationships/chart" Target="charts/chart138.xml"/><Relationship Id="rId146" Type="http://schemas.openxmlformats.org/officeDocument/2006/relationships/chart" Target="charts/chart137.xml"/><Relationship Id="rId145" Type="http://schemas.openxmlformats.org/officeDocument/2006/relationships/chart" Target="charts/chart136.xml"/><Relationship Id="rId144" Type="http://schemas.openxmlformats.org/officeDocument/2006/relationships/chart" Target="charts/chart135.xml"/><Relationship Id="rId143" Type="http://schemas.openxmlformats.org/officeDocument/2006/relationships/chart" Target="charts/chart134.xml"/><Relationship Id="rId142" Type="http://schemas.openxmlformats.org/officeDocument/2006/relationships/chart" Target="charts/chart133.xml"/><Relationship Id="rId141" Type="http://schemas.openxmlformats.org/officeDocument/2006/relationships/chart" Target="charts/chart132.xml"/><Relationship Id="rId140" Type="http://schemas.openxmlformats.org/officeDocument/2006/relationships/chart" Target="charts/chart131.xml"/><Relationship Id="rId14" Type="http://schemas.openxmlformats.org/officeDocument/2006/relationships/chart" Target="charts/chart5.xml"/><Relationship Id="rId139" Type="http://schemas.openxmlformats.org/officeDocument/2006/relationships/chart" Target="charts/chart130.xml"/><Relationship Id="rId138" Type="http://schemas.openxmlformats.org/officeDocument/2006/relationships/chart" Target="charts/chart129.xml"/><Relationship Id="rId137" Type="http://schemas.openxmlformats.org/officeDocument/2006/relationships/chart" Target="charts/chart128.xml"/><Relationship Id="rId136" Type="http://schemas.openxmlformats.org/officeDocument/2006/relationships/chart" Target="charts/chart127.xml"/><Relationship Id="rId135" Type="http://schemas.openxmlformats.org/officeDocument/2006/relationships/chart" Target="charts/chart126.xml"/><Relationship Id="rId134" Type="http://schemas.openxmlformats.org/officeDocument/2006/relationships/chart" Target="charts/chart125.xml"/><Relationship Id="rId133" Type="http://schemas.openxmlformats.org/officeDocument/2006/relationships/chart" Target="charts/chart124.xml"/><Relationship Id="rId132" Type="http://schemas.openxmlformats.org/officeDocument/2006/relationships/chart" Target="charts/chart123.xml"/><Relationship Id="rId131" Type="http://schemas.openxmlformats.org/officeDocument/2006/relationships/chart" Target="charts/chart122.xml"/><Relationship Id="rId130" Type="http://schemas.openxmlformats.org/officeDocument/2006/relationships/chart" Target="charts/chart121.xml"/><Relationship Id="rId13" Type="http://schemas.openxmlformats.org/officeDocument/2006/relationships/chart" Target="charts/chart4.xml"/><Relationship Id="rId129" Type="http://schemas.openxmlformats.org/officeDocument/2006/relationships/chart" Target="charts/chart120.xml"/><Relationship Id="rId128" Type="http://schemas.openxmlformats.org/officeDocument/2006/relationships/chart" Target="charts/chart119.xml"/><Relationship Id="rId127" Type="http://schemas.openxmlformats.org/officeDocument/2006/relationships/chart" Target="charts/chart118.xml"/><Relationship Id="rId126" Type="http://schemas.openxmlformats.org/officeDocument/2006/relationships/chart" Target="charts/chart117.xml"/><Relationship Id="rId125" Type="http://schemas.openxmlformats.org/officeDocument/2006/relationships/chart" Target="charts/chart116.xml"/><Relationship Id="rId124" Type="http://schemas.openxmlformats.org/officeDocument/2006/relationships/chart" Target="charts/chart115.xml"/><Relationship Id="rId123" Type="http://schemas.openxmlformats.org/officeDocument/2006/relationships/chart" Target="charts/chart114.xml"/><Relationship Id="rId122" Type="http://schemas.openxmlformats.org/officeDocument/2006/relationships/chart" Target="charts/chart113.xml"/><Relationship Id="rId121" Type="http://schemas.openxmlformats.org/officeDocument/2006/relationships/chart" Target="charts/chart112.xml"/><Relationship Id="rId120" Type="http://schemas.openxmlformats.org/officeDocument/2006/relationships/chart" Target="charts/chart111.xml"/><Relationship Id="rId12" Type="http://schemas.openxmlformats.org/officeDocument/2006/relationships/chart" Target="charts/chart3.xml"/><Relationship Id="rId119" Type="http://schemas.openxmlformats.org/officeDocument/2006/relationships/chart" Target="charts/chart110.xml"/><Relationship Id="rId118" Type="http://schemas.openxmlformats.org/officeDocument/2006/relationships/chart" Target="charts/chart109.xml"/><Relationship Id="rId117" Type="http://schemas.openxmlformats.org/officeDocument/2006/relationships/chart" Target="charts/chart108.xml"/><Relationship Id="rId116" Type="http://schemas.openxmlformats.org/officeDocument/2006/relationships/chart" Target="charts/chart107.xml"/><Relationship Id="rId115" Type="http://schemas.openxmlformats.org/officeDocument/2006/relationships/chart" Target="charts/chart106.xml"/><Relationship Id="rId114" Type="http://schemas.openxmlformats.org/officeDocument/2006/relationships/chart" Target="charts/chart105.xml"/><Relationship Id="rId113" Type="http://schemas.openxmlformats.org/officeDocument/2006/relationships/chart" Target="charts/chart104.xml"/><Relationship Id="rId112" Type="http://schemas.openxmlformats.org/officeDocument/2006/relationships/chart" Target="charts/chart103.xml"/><Relationship Id="rId111" Type="http://schemas.openxmlformats.org/officeDocument/2006/relationships/chart" Target="charts/chart102.xml"/><Relationship Id="rId110" Type="http://schemas.openxmlformats.org/officeDocument/2006/relationships/chart" Target="charts/chart101.xml"/><Relationship Id="rId11" Type="http://schemas.openxmlformats.org/officeDocument/2006/relationships/chart" Target="charts/chart2.xml"/><Relationship Id="rId109" Type="http://schemas.openxmlformats.org/officeDocument/2006/relationships/chart" Target="charts/chart100.xml"/><Relationship Id="rId108" Type="http://schemas.openxmlformats.org/officeDocument/2006/relationships/chart" Target="charts/chart99.xml"/><Relationship Id="rId107" Type="http://schemas.openxmlformats.org/officeDocument/2006/relationships/chart" Target="charts/chart98.xml"/><Relationship Id="rId106" Type="http://schemas.openxmlformats.org/officeDocument/2006/relationships/chart" Target="charts/chart97.xml"/><Relationship Id="rId105" Type="http://schemas.openxmlformats.org/officeDocument/2006/relationships/chart" Target="charts/chart96.xml"/><Relationship Id="rId104" Type="http://schemas.openxmlformats.org/officeDocument/2006/relationships/chart" Target="charts/chart95.xml"/><Relationship Id="rId103" Type="http://schemas.openxmlformats.org/officeDocument/2006/relationships/chart" Target="charts/chart94.xml"/><Relationship Id="rId102" Type="http://schemas.openxmlformats.org/officeDocument/2006/relationships/chart" Target="charts/chart93.xml"/><Relationship Id="rId101" Type="http://schemas.openxmlformats.org/officeDocument/2006/relationships/chart" Target="charts/chart92.xml"/><Relationship Id="rId100" Type="http://schemas.openxmlformats.org/officeDocument/2006/relationships/chart" Target="charts/chart91.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100.xml.rels><?xml version="1.0" encoding="UTF-8" standalone="yes"?>
<Relationships xmlns="http://schemas.openxmlformats.org/package/2006/relationships"><Relationship Id="rId2" Type="http://schemas.openxmlformats.org/officeDocument/2006/relationships/themeOverride" Target="../theme/themeOverride87.xml"/><Relationship Id="rId1" Type="http://schemas.openxmlformats.org/officeDocument/2006/relationships/package" Target="../embeddings/Workbook100.xlsx"/></Relationships>
</file>

<file path=word/charts/_rels/chart101.xml.rels><?xml version="1.0" encoding="UTF-8" standalone="yes"?>
<Relationships xmlns="http://schemas.openxmlformats.org/package/2006/relationships"><Relationship Id="rId2" Type="http://schemas.openxmlformats.org/officeDocument/2006/relationships/themeOverride" Target="../theme/themeOverride89.xml"/><Relationship Id="rId1" Type="http://schemas.openxmlformats.org/officeDocument/2006/relationships/package" Target="../embeddings/Workbook102.xlsx"/></Relationships>
</file>

<file path=word/charts/_rels/chart102.xml.rels><?xml version="1.0" encoding="UTF-8" standalone="yes"?>
<Relationships xmlns="http://schemas.openxmlformats.org/package/2006/relationships"><Relationship Id="rId2" Type="http://schemas.openxmlformats.org/officeDocument/2006/relationships/themeOverride" Target="../theme/themeOverride88.xml"/><Relationship Id="rId1" Type="http://schemas.openxmlformats.org/officeDocument/2006/relationships/package" Target="../embeddings/Workbook101.xlsx"/></Relationships>
</file>

<file path=word/charts/_rels/chart103.xml.rels><?xml version="1.0" encoding="UTF-8" standalone="yes"?>
<Relationships xmlns="http://schemas.openxmlformats.org/package/2006/relationships"><Relationship Id="rId2" Type="http://schemas.openxmlformats.org/officeDocument/2006/relationships/themeOverride" Target="../theme/themeOverride90.xml"/><Relationship Id="rId1" Type="http://schemas.openxmlformats.org/officeDocument/2006/relationships/package" Target="../embeddings/Workbook103.xlsx"/></Relationships>
</file>

<file path=word/charts/_rels/chart104.xml.rels><?xml version="1.0" encoding="UTF-8" standalone="yes"?>
<Relationships xmlns="http://schemas.openxmlformats.org/package/2006/relationships"><Relationship Id="rId2" Type="http://schemas.openxmlformats.org/officeDocument/2006/relationships/themeOverride" Target="../theme/themeOverride91.xml"/><Relationship Id="rId1" Type="http://schemas.openxmlformats.org/officeDocument/2006/relationships/package" Target="../embeddings/Workbook104.xlsx"/></Relationships>
</file>

<file path=word/charts/_rels/chart105.xml.rels><?xml version="1.0" encoding="UTF-8" standalone="yes"?>
<Relationships xmlns="http://schemas.openxmlformats.org/package/2006/relationships"><Relationship Id="rId2" Type="http://schemas.openxmlformats.org/officeDocument/2006/relationships/themeOverride" Target="../theme/themeOverride92.xml"/><Relationship Id="rId1" Type="http://schemas.openxmlformats.org/officeDocument/2006/relationships/package" Target="../embeddings/Workbook105.xlsx"/></Relationships>
</file>

<file path=word/charts/_rels/chart106.xml.rels><?xml version="1.0" encoding="UTF-8" standalone="yes"?>
<Relationships xmlns="http://schemas.openxmlformats.org/package/2006/relationships"><Relationship Id="rId2" Type="http://schemas.openxmlformats.org/officeDocument/2006/relationships/themeOverride" Target="../theme/themeOverride93.xml"/><Relationship Id="rId1" Type="http://schemas.openxmlformats.org/officeDocument/2006/relationships/package" Target="../embeddings/Workbook106.xlsx"/></Relationships>
</file>

<file path=word/charts/_rels/chart107.xml.rels><?xml version="1.0" encoding="UTF-8" standalone="yes"?>
<Relationships xmlns="http://schemas.openxmlformats.org/package/2006/relationships"><Relationship Id="rId2" Type="http://schemas.openxmlformats.org/officeDocument/2006/relationships/themeOverride" Target="../theme/themeOverride94.xml"/><Relationship Id="rId1" Type="http://schemas.openxmlformats.org/officeDocument/2006/relationships/package" Target="../embeddings/Workbook107.xlsx"/></Relationships>
</file>

<file path=word/charts/_rels/chart108.xml.rels><?xml version="1.0" encoding="UTF-8" standalone="yes"?>
<Relationships xmlns="http://schemas.openxmlformats.org/package/2006/relationships"><Relationship Id="rId2" Type="http://schemas.openxmlformats.org/officeDocument/2006/relationships/themeOverride" Target="../theme/themeOverride95.xml"/><Relationship Id="rId1" Type="http://schemas.openxmlformats.org/officeDocument/2006/relationships/package" Target="../embeddings/Workbook108.xlsx"/></Relationships>
</file>

<file path=word/charts/_rels/chart109.xml.rels><?xml version="1.0" encoding="UTF-8" standalone="yes"?>
<Relationships xmlns="http://schemas.openxmlformats.org/package/2006/relationships"><Relationship Id="rId2" Type="http://schemas.openxmlformats.org/officeDocument/2006/relationships/themeOverride" Target="../theme/themeOverride96.xml"/><Relationship Id="rId1" Type="http://schemas.openxmlformats.org/officeDocument/2006/relationships/package" Target="../embeddings/Workbook109.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_rels/chart110.xml.rels><?xml version="1.0" encoding="UTF-8" standalone="yes"?>
<Relationships xmlns="http://schemas.openxmlformats.org/package/2006/relationships"><Relationship Id="rId2" Type="http://schemas.openxmlformats.org/officeDocument/2006/relationships/themeOverride" Target="../theme/themeOverride97.xml"/><Relationship Id="rId1" Type="http://schemas.openxmlformats.org/officeDocument/2006/relationships/package" Target="../embeddings/Workbook110.xlsx"/></Relationships>
</file>

<file path=word/charts/_rels/chart111.xml.rels><?xml version="1.0" encoding="UTF-8" standalone="yes"?>
<Relationships xmlns="http://schemas.openxmlformats.org/package/2006/relationships"><Relationship Id="rId2" Type="http://schemas.openxmlformats.org/officeDocument/2006/relationships/themeOverride" Target="../theme/themeOverride98.xml"/><Relationship Id="rId1" Type="http://schemas.openxmlformats.org/officeDocument/2006/relationships/package" Target="../embeddings/Workbook111.xlsx"/></Relationships>
</file>

<file path=word/charts/_rels/chart112.xml.rels><?xml version="1.0" encoding="UTF-8" standalone="yes"?>
<Relationships xmlns="http://schemas.openxmlformats.org/package/2006/relationships"><Relationship Id="rId2" Type="http://schemas.openxmlformats.org/officeDocument/2006/relationships/themeOverride" Target="../theme/themeOverride99.xml"/><Relationship Id="rId1" Type="http://schemas.openxmlformats.org/officeDocument/2006/relationships/package" Target="../embeddings/Workbook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Workbook113.xlsx"/></Relationships>
</file>

<file path=word/charts/_rels/chart114.xml.rels><?xml version="1.0" encoding="UTF-8" standalone="yes"?>
<Relationships xmlns="http://schemas.openxmlformats.org/package/2006/relationships"><Relationship Id="rId2" Type="http://schemas.openxmlformats.org/officeDocument/2006/relationships/themeOverride" Target="../theme/themeOverride101.xml"/><Relationship Id="rId1" Type="http://schemas.openxmlformats.org/officeDocument/2006/relationships/package" Target="../embeddings/Workbook115.xlsx"/></Relationships>
</file>

<file path=word/charts/_rels/chart115.xml.rels><?xml version="1.0" encoding="UTF-8" standalone="yes"?>
<Relationships xmlns="http://schemas.openxmlformats.org/package/2006/relationships"><Relationship Id="rId2" Type="http://schemas.openxmlformats.org/officeDocument/2006/relationships/themeOverride" Target="../theme/themeOverride100.xml"/><Relationship Id="rId1" Type="http://schemas.openxmlformats.org/officeDocument/2006/relationships/package" Target="../embeddings/Workbook114.xlsx"/></Relationships>
</file>

<file path=word/charts/_rels/chart116.xml.rels><?xml version="1.0" encoding="UTF-8" standalone="yes"?>
<Relationships xmlns="http://schemas.openxmlformats.org/package/2006/relationships"><Relationship Id="rId2" Type="http://schemas.openxmlformats.org/officeDocument/2006/relationships/themeOverride" Target="../theme/themeOverride103.xml"/><Relationship Id="rId1" Type="http://schemas.openxmlformats.org/officeDocument/2006/relationships/package" Target="../embeddings/Workbook117.xlsx"/></Relationships>
</file>

<file path=word/charts/_rels/chart117.xml.rels><?xml version="1.0" encoding="UTF-8" standalone="yes"?>
<Relationships xmlns="http://schemas.openxmlformats.org/package/2006/relationships"><Relationship Id="rId2" Type="http://schemas.openxmlformats.org/officeDocument/2006/relationships/themeOverride" Target="../theme/themeOverride102.xml"/><Relationship Id="rId1" Type="http://schemas.openxmlformats.org/officeDocument/2006/relationships/package" Target="../embeddings/Workbook116.xlsx"/></Relationships>
</file>

<file path=word/charts/_rels/chart118.xml.rels><?xml version="1.0" encoding="UTF-8" standalone="yes"?>
<Relationships xmlns="http://schemas.openxmlformats.org/package/2006/relationships"><Relationship Id="rId2" Type="http://schemas.openxmlformats.org/officeDocument/2006/relationships/themeOverride" Target="../theme/themeOverride104.xml"/><Relationship Id="rId1" Type="http://schemas.openxmlformats.org/officeDocument/2006/relationships/package" Target="../embeddings/Workbook118.xlsx"/></Relationships>
</file>

<file path=word/charts/_rels/chart119.xml.rels><?xml version="1.0" encoding="UTF-8" standalone="yes"?>
<Relationships xmlns="http://schemas.openxmlformats.org/package/2006/relationships"><Relationship Id="rId2" Type="http://schemas.openxmlformats.org/officeDocument/2006/relationships/themeOverride" Target="../theme/themeOverride105.xml"/><Relationship Id="rId1" Type="http://schemas.openxmlformats.org/officeDocument/2006/relationships/package" Target="../embeddings/Workbook119.xlsx"/></Relationships>
</file>

<file path=word/charts/_rels/chart12.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120.xml.rels><?xml version="1.0" encoding="UTF-8" standalone="yes"?>
<Relationships xmlns="http://schemas.openxmlformats.org/package/2006/relationships"><Relationship Id="rId2" Type="http://schemas.openxmlformats.org/officeDocument/2006/relationships/themeOverride" Target="../theme/themeOverride106.xml"/><Relationship Id="rId1" Type="http://schemas.openxmlformats.org/officeDocument/2006/relationships/package" Target="../embeddings/Workbook120.xlsx"/></Relationships>
</file>

<file path=word/charts/_rels/chart121.xml.rels><?xml version="1.0" encoding="UTF-8" standalone="yes"?>
<Relationships xmlns="http://schemas.openxmlformats.org/package/2006/relationships"><Relationship Id="rId2" Type="http://schemas.openxmlformats.org/officeDocument/2006/relationships/themeOverride" Target="../theme/themeOverride107.xml"/><Relationship Id="rId1" Type="http://schemas.openxmlformats.org/officeDocument/2006/relationships/package" Target="../embeddings/Workbook121.xlsx"/></Relationships>
</file>

<file path=word/charts/_rels/chart122.xml.rels><?xml version="1.0" encoding="UTF-8" standalone="yes"?>
<Relationships xmlns="http://schemas.openxmlformats.org/package/2006/relationships"><Relationship Id="rId2" Type="http://schemas.openxmlformats.org/officeDocument/2006/relationships/themeOverride" Target="../theme/themeOverride108.xml"/><Relationship Id="rId1" Type="http://schemas.openxmlformats.org/officeDocument/2006/relationships/package" Target="../embeddings/Workbook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Workbook123.xlsx"/></Relationships>
</file>

<file path=word/charts/_rels/chart124.xml.rels><?xml version="1.0" encoding="UTF-8" standalone="yes"?>
<Relationships xmlns="http://schemas.openxmlformats.org/package/2006/relationships"><Relationship Id="rId2" Type="http://schemas.openxmlformats.org/officeDocument/2006/relationships/themeOverride" Target="../theme/themeOverride109.xml"/><Relationship Id="rId1" Type="http://schemas.openxmlformats.org/officeDocument/2006/relationships/package" Target="../embeddings/Workbook124.xlsx"/></Relationships>
</file>

<file path=word/charts/_rels/chart125.xml.rels><?xml version="1.0" encoding="UTF-8" standalone="yes"?>
<Relationships xmlns="http://schemas.openxmlformats.org/package/2006/relationships"><Relationship Id="rId2" Type="http://schemas.openxmlformats.org/officeDocument/2006/relationships/themeOverride" Target="../theme/themeOverride110.xml"/><Relationship Id="rId1" Type="http://schemas.openxmlformats.org/officeDocument/2006/relationships/package" Target="../embeddings/Workbook125.xlsx"/></Relationships>
</file>

<file path=word/charts/_rels/chart126.xml.rels><?xml version="1.0" encoding="UTF-8" standalone="yes"?>
<Relationships xmlns="http://schemas.openxmlformats.org/package/2006/relationships"><Relationship Id="rId2" Type="http://schemas.openxmlformats.org/officeDocument/2006/relationships/themeOverride" Target="../theme/themeOverride111.xml"/><Relationship Id="rId1" Type="http://schemas.openxmlformats.org/officeDocument/2006/relationships/package" Target="../embeddings/Workbook126.xlsx"/></Relationships>
</file>

<file path=word/charts/_rels/chart127.xml.rels><?xml version="1.0" encoding="UTF-8" standalone="yes"?>
<Relationships xmlns="http://schemas.openxmlformats.org/package/2006/relationships"><Relationship Id="rId2" Type="http://schemas.openxmlformats.org/officeDocument/2006/relationships/themeOverride" Target="../theme/themeOverride114.xml"/><Relationship Id="rId1" Type="http://schemas.openxmlformats.org/officeDocument/2006/relationships/package" Target="../embeddings/Workbook129.xlsx"/></Relationships>
</file>

<file path=word/charts/_rels/chart128.xml.rels><?xml version="1.0" encoding="UTF-8" standalone="yes"?>
<Relationships xmlns="http://schemas.openxmlformats.org/package/2006/relationships"><Relationship Id="rId2" Type="http://schemas.openxmlformats.org/officeDocument/2006/relationships/themeOverride" Target="../theme/themeOverride112.xml"/><Relationship Id="rId1" Type="http://schemas.openxmlformats.org/officeDocument/2006/relationships/package" Target="../embeddings/Workbook127.xlsx"/></Relationships>
</file>

<file path=word/charts/_rels/chart129.xml.rels><?xml version="1.0" encoding="UTF-8" standalone="yes"?>
<Relationships xmlns="http://schemas.openxmlformats.org/package/2006/relationships"><Relationship Id="rId2" Type="http://schemas.openxmlformats.org/officeDocument/2006/relationships/themeOverride" Target="../theme/themeOverride113.xml"/><Relationship Id="rId1" Type="http://schemas.openxmlformats.org/officeDocument/2006/relationships/package" Target="../embeddings/Workbook128.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14.xml"/><Relationship Id="rId1" Type="http://schemas.openxmlformats.org/officeDocument/2006/relationships/package" Target="../embeddings/Workbook14.xlsx"/></Relationships>
</file>

<file path=word/charts/_rels/chart130.xml.rels><?xml version="1.0" encoding="UTF-8" standalone="yes"?>
<Relationships xmlns="http://schemas.openxmlformats.org/package/2006/relationships"><Relationship Id="rId2" Type="http://schemas.openxmlformats.org/officeDocument/2006/relationships/themeOverride" Target="../theme/themeOverride116.xml"/><Relationship Id="rId1" Type="http://schemas.openxmlformats.org/officeDocument/2006/relationships/package" Target="../embeddings/Workbook131.xlsx"/></Relationships>
</file>

<file path=word/charts/_rels/chart131.xml.rels><?xml version="1.0" encoding="UTF-8" standalone="yes"?>
<Relationships xmlns="http://schemas.openxmlformats.org/package/2006/relationships"><Relationship Id="rId2" Type="http://schemas.openxmlformats.org/officeDocument/2006/relationships/themeOverride" Target="../theme/themeOverride117.xml"/><Relationship Id="rId1" Type="http://schemas.openxmlformats.org/officeDocument/2006/relationships/package" Target="../embeddings/Workbook132.xlsx"/></Relationships>
</file>

<file path=word/charts/_rels/chart132.xml.rels><?xml version="1.0" encoding="UTF-8" standalone="yes"?>
<Relationships xmlns="http://schemas.openxmlformats.org/package/2006/relationships"><Relationship Id="rId2" Type="http://schemas.openxmlformats.org/officeDocument/2006/relationships/themeOverride" Target="../theme/themeOverride115.xml"/><Relationship Id="rId1" Type="http://schemas.openxmlformats.org/officeDocument/2006/relationships/package" Target="../embeddings/Workbook130.xlsx"/></Relationships>
</file>

<file path=word/charts/_rels/chart133.xml.rels><?xml version="1.0" encoding="UTF-8" standalone="yes"?>
<Relationships xmlns="http://schemas.openxmlformats.org/package/2006/relationships"><Relationship Id="rId2" Type="http://schemas.openxmlformats.org/officeDocument/2006/relationships/themeOverride" Target="../theme/themeOverride118.xml"/><Relationship Id="rId1" Type="http://schemas.openxmlformats.org/officeDocument/2006/relationships/package" Target="../embeddings/Workbook133.xlsx"/></Relationships>
</file>

<file path=word/charts/_rels/chart134.xml.rels><?xml version="1.0" encoding="UTF-8" standalone="yes"?>
<Relationships xmlns="http://schemas.openxmlformats.org/package/2006/relationships"><Relationship Id="rId2" Type="http://schemas.openxmlformats.org/officeDocument/2006/relationships/themeOverride" Target="../theme/themeOverride120.xml"/><Relationship Id="rId1" Type="http://schemas.openxmlformats.org/officeDocument/2006/relationships/package" Target="../embeddings/Workbook135.xlsx"/></Relationships>
</file>

<file path=word/charts/_rels/chart135.xml.rels><?xml version="1.0" encoding="UTF-8" standalone="yes"?>
<Relationships xmlns="http://schemas.openxmlformats.org/package/2006/relationships"><Relationship Id="rId2" Type="http://schemas.openxmlformats.org/officeDocument/2006/relationships/themeOverride" Target="../theme/themeOverride119.xml"/><Relationship Id="rId1" Type="http://schemas.openxmlformats.org/officeDocument/2006/relationships/package" Target="../embeddings/Workbook134.xlsx"/></Relationships>
</file>

<file path=word/charts/_rels/chart136.xml.rels><?xml version="1.0" encoding="UTF-8" standalone="yes"?>
<Relationships xmlns="http://schemas.openxmlformats.org/package/2006/relationships"><Relationship Id="rId2" Type="http://schemas.openxmlformats.org/officeDocument/2006/relationships/themeOverride" Target="../theme/themeOverride121.xml"/><Relationship Id="rId1" Type="http://schemas.openxmlformats.org/officeDocument/2006/relationships/package" Target="../embeddings/Workbook136.xlsx"/></Relationships>
</file>

<file path=word/charts/_rels/chart137.xml.rels><?xml version="1.0" encoding="UTF-8" standalone="yes"?>
<Relationships xmlns="http://schemas.openxmlformats.org/package/2006/relationships"><Relationship Id="rId2" Type="http://schemas.openxmlformats.org/officeDocument/2006/relationships/themeOverride" Target="../theme/themeOverride122.xml"/><Relationship Id="rId1" Type="http://schemas.openxmlformats.org/officeDocument/2006/relationships/package" Target="../embeddings/Workbook137.xlsx"/></Relationships>
</file>

<file path=word/charts/_rels/chart138.xml.rels><?xml version="1.0" encoding="UTF-8" standalone="yes"?>
<Relationships xmlns="http://schemas.openxmlformats.org/package/2006/relationships"><Relationship Id="rId2" Type="http://schemas.openxmlformats.org/officeDocument/2006/relationships/themeOverride" Target="../theme/themeOverride123.xml"/><Relationship Id="rId1" Type="http://schemas.openxmlformats.org/officeDocument/2006/relationships/package" Target="../embeddings/Workbook138.xlsx"/></Relationships>
</file>

<file path=word/charts/_rels/chart139.xml.rels><?xml version="1.0" encoding="UTF-8" standalone="yes"?>
<Relationships xmlns="http://schemas.openxmlformats.org/package/2006/relationships"><Relationship Id="rId2" Type="http://schemas.openxmlformats.org/officeDocument/2006/relationships/themeOverride" Target="../theme/themeOverride125.xml"/><Relationship Id="rId1" Type="http://schemas.openxmlformats.org/officeDocument/2006/relationships/package" Target="../embeddings/Workbook140.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15.xlsx"/></Relationships>
</file>

<file path=word/charts/_rels/chart140.xml.rels><?xml version="1.0" encoding="UTF-8" standalone="yes"?>
<Relationships xmlns="http://schemas.openxmlformats.org/package/2006/relationships"><Relationship Id="rId2" Type="http://schemas.openxmlformats.org/officeDocument/2006/relationships/themeOverride" Target="../theme/themeOverride124.xml"/><Relationship Id="rId1" Type="http://schemas.openxmlformats.org/officeDocument/2006/relationships/package" Target="../embeddings/Workbook139.xlsx"/></Relationships>
</file>

<file path=word/charts/_rels/chart141.xml.rels><?xml version="1.0" encoding="UTF-8" standalone="yes"?>
<Relationships xmlns="http://schemas.openxmlformats.org/package/2006/relationships"><Relationship Id="rId2" Type="http://schemas.openxmlformats.org/officeDocument/2006/relationships/themeOverride" Target="../theme/themeOverride126.xml"/><Relationship Id="rId1" Type="http://schemas.openxmlformats.org/officeDocument/2006/relationships/package" Target="../embeddings/Workbook141.xlsx"/></Relationships>
</file>

<file path=word/charts/_rels/chart142.xml.rels><?xml version="1.0" encoding="UTF-8" standalone="yes"?>
<Relationships xmlns="http://schemas.openxmlformats.org/package/2006/relationships"><Relationship Id="rId2" Type="http://schemas.openxmlformats.org/officeDocument/2006/relationships/themeOverride" Target="../theme/themeOverride127.xml"/><Relationship Id="rId1" Type="http://schemas.openxmlformats.org/officeDocument/2006/relationships/package" Target="../embeddings/Workbook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Workbook144.xlsx"/></Relationships>
</file>

<file path=word/charts/_rels/chart144.xml.rels><?xml version="1.0" encoding="UTF-8" standalone="yes"?>
<Relationships xmlns="http://schemas.openxmlformats.org/package/2006/relationships"><Relationship Id="rId2" Type="http://schemas.openxmlformats.org/officeDocument/2006/relationships/themeOverride" Target="../theme/themeOverride128.xml"/><Relationship Id="rId1" Type="http://schemas.openxmlformats.org/officeDocument/2006/relationships/package" Target="../embeddings/Workbook143.xlsx"/></Relationships>
</file>

<file path=word/charts/_rels/chart145.xml.rels><?xml version="1.0" encoding="UTF-8" standalone="yes"?>
<Relationships xmlns="http://schemas.openxmlformats.org/package/2006/relationships"><Relationship Id="rId2" Type="http://schemas.openxmlformats.org/officeDocument/2006/relationships/themeOverride" Target="../theme/themeOverride131.xml"/><Relationship Id="rId1" Type="http://schemas.openxmlformats.org/officeDocument/2006/relationships/package" Target="../embeddings/Workbook147.xlsx"/></Relationships>
</file>

<file path=word/charts/_rels/chart146.xml.rels><?xml version="1.0" encoding="UTF-8" standalone="yes"?>
<Relationships xmlns="http://schemas.openxmlformats.org/package/2006/relationships"><Relationship Id="rId2" Type="http://schemas.openxmlformats.org/officeDocument/2006/relationships/themeOverride" Target="../theme/themeOverride130.xml"/><Relationship Id="rId1" Type="http://schemas.openxmlformats.org/officeDocument/2006/relationships/package" Target="../embeddings/Workbook146.xlsx"/></Relationships>
</file>

<file path=word/charts/_rels/chart147.xml.rels><?xml version="1.0" encoding="UTF-8" standalone="yes"?>
<Relationships xmlns="http://schemas.openxmlformats.org/package/2006/relationships"><Relationship Id="rId2" Type="http://schemas.openxmlformats.org/officeDocument/2006/relationships/themeOverride" Target="../theme/themeOverride129.xml"/><Relationship Id="rId1" Type="http://schemas.openxmlformats.org/officeDocument/2006/relationships/package" Target="../embeddings/Workbook145.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Workbook148.xlsx"/></Relationships>
</file>

<file path=word/charts/_rels/chart149.xml.rels><?xml version="1.0" encoding="UTF-8" standalone="yes"?>
<Relationships xmlns="http://schemas.openxmlformats.org/package/2006/relationships"><Relationship Id="rId2" Type="http://schemas.openxmlformats.org/officeDocument/2006/relationships/themeOverride" Target="../theme/themeOverride132.xml"/><Relationship Id="rId1" Type="http://schemas.openxmlformats.org/officeDocument/2006/relationships/package" Target="../embeddings/Workbook149.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150.xml.rels><?xml version="1.0" encoding="UTF-8" standalone="yes"?>
<Relationships xmlns="http://schemas.openxmlformats.org/package/2006/relationships"><Relationship Id="rId2" Type="http://schemas.openxmlformats.org/officeDocument/2006/relationships/themeOverride" Target="../theme/themeOverride133.xml"/><Relationship Id="rId1" Type="http://schemas.openxmlformats.org/officeDocument/2006/relationships/package" Target="../embeddings/Workbook150.xlsx"/></Relationships>
</file>

<file path=word/charts/_rels/chart151.xml.rels><?xml version="1.0" encoding="UTF-8" standalone="yes"?>
<Relationships xmlns="http://schemas.openxmlformats.org/package/2006/relationships"><Relationship Id="rId2" Type="http://schemas.openxmlformats.org/officeDocument/2006/relationships/themeOverride" Target="../theme/themeOverride134.xml"/><Relationship Id="rId1" Type="http://schemas.openxmlformats.org/officeDocument/2006/relationships/package" Target="../embeddings/Workbook151.xlsx"/></Relationships>
</file>

<file path=word/charts/_rels/chart152.xml.rels><?xml version="1.0" encoding="UTF-8" standalone="yes"?>
<Relationships xmlns="http://schemas.openxmlformats.org/package/2006/relationships"><Relationship Id="rId2" Type="http://schemas.openxmlformats.org/officeDocument/2006/relationships/themeOverride" Target="../theme/themeOverride135.xml"/><Relationship Id="rId1" Type="http://schemas.openxmlformats.org/officeDocument/2006/relationships/package" Target="../embeddings/Workbook152.xlsx"/></Relationships>
</file>

<file path=word/charts/_rels/chart153.xml.rels><?xml version="1.0" encoding="UTF-8" standalone="yes"?>
<Relationships xmlns="http://schemas.openxmlformats.org/package/2006/relationships"><Relationship Id="rId2" Type="http://schemas.openxmlformats.org/officeDocument/2006/relationships/themeOverride" Target="../theme/themeOverride138.xml"/><Relationship Id="rId1" Type="http://schemas.openxmlformats.org/officeDocument/2006/relationships/package" Target="../embeddings/Workbook155.xlsx"/></Relationships>
</file>

<file path=word/charts/_rels/chart154.xml.rels><?xml version="1.0" encoding="UTF-8" standalone="yes"?>
<Relationships xmlns="http://schemas.openxmlformats.org/package/2006/relationships"><Relationship Id="rId2" Type="http://schemas.openxmlformats.org/officeDocument/2006/relationships/themeOverride" Target="../theme/themeOverride136.xml"/><Relationship Id="rId1" Type="http://schemas.openxmlformats.org/officeDocument/2006/relationships/package" Target="../embeddings/Workbook153.xlsx"/></Relationships>
</file>

<file path=word/charts/_rels/chart155.xml.rels><?xml version="1.0" encoding="UTF-8" standalone="yes"?>
<Relationships xmlns="http://schemas.openxmlformats.org/package/2006/relationships"><Relationship Id="rId2" Type="http://schemas.openxmlformats.org/officeDocument/2006/relationships/themeOverride" Target="../theme/themeOverride137.xml"/><Relationship Id="rId1" Type="http://schemas.openxmlformats.org/officeDocument/2006/relationships/package" Target="../embeddings/Workbook154.xlsx"/></Relationships>
</file>

<file path=word/charts/_rels/chart156.xml.rels><?xml version="1.0" encoding="UTF-8" standalone="yes"?>
<Relationships xmlns="http://schemas.openxmlformats.org/package/2006/relationships"><Relationship Id="rId2" Type="http://schemas.openxmlformats.org/officeDocument/2006/relationships/themeOverride" Target="../theme/themeOverride139.xml"/><Relationship Id="rId1" Type="http://schemas.openxmlformats.org/officeDocument/2006/relationships/package" Target="../embeddings/Workbook156.xlsx"/></Relationships>
</file>

<file path=word/charts/_rels/chart157.xml.rels><?xml version="1.0" encoding="UTF-8" standalone="yes"?>
<Relationships xmlns="http://schemas.openxmlformats.org/package/2006/relationships"><Relationship Id="rId2" Type="http://schemas.openxmlformats.org/officeDocument/2006/relationships/themeOverride" Target="../theme/themeOverride140.xml"/><Relationship Id="rId1" Type="http://schemas.openxmlformats.org/officeDocument/2006/relationships/package" Target="../embeddings/Workbook157.xlsx"/></Relationships>
</file>

<file path=word/charts/_rels/chart158.xml.rels><?xml version="1.0" encoding="UTF-8" standalone="yes"?>
<Relationships xmlns="http://schemas.openxmlformats.org/package/2006/relationships"><Relationship Id="rId2" Type="http://schemas.openxmlformats.org/officeDocument/2006/relationships/themeOverride" Target="../theme/themeOverride141.xml"/><Relationship Id="rId1" Type="http://schemas.openxmlformats.org/officeDocument/2006/relationships/package" Target="../embeddings/Workbook158.xlsx"/></Relationships>
</file>

<file path=word/charts/_rels/chart159.xml.rels><?xml version="1.0" encoding="UTF-8" standalone="yes"?>
<Relationships xmlns="http://schemas.openxmlformats.org/package/2006/relationships"><Relationship Id="rId2" Type="http://schemas.openxmlformats.org/officeDocument/2006/relationships/themeOverride" Target="../theme/themeOverride142.xml"/><Relationship Id="rId1" Type="http://schemas.openxmlformats.org/officeDocument/2006/relationships/package" Target="../embeddings/Workbook159.xlsx"/></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16.xml"/><Relationship Id="rId1" Type="http://schemas.openxmlformats.org/officeDocument/2006/relationships/package" Target="../embeddings/Workbook16.xlsx"/></Relationships>
</file>

<file path=word/charts/_rels/chart160.xml.rels><?xml version="1.0" encoding="UTF-8" standalone="yes"?>
<Relationships xmlns="http://schemas.openxmlformats.org/package/2006/relationships"><Relationship Id="rId2" Type="http://schemas.openxmlformats.org/officeDocument/2006/relationships/themeOverride" Target="../theme/themeOverride143.xml"/><Relationship Id="rId1" Type="http://schemas.openxmlformats.org/officeDocument/2006/relationships/package" Target="../embeddings/Workbook160.xlsx"/></Relationships>
</file>

<file path=word/charts/_rels/chart161.xml.rels><?xml version="1.0" encoding="UTF-8" standalone="yes"?>
<Relationships xmlns="http://schemas.openxmlformats.org/package/2006/relationships"><Relationship Id="rId2" Type="http://schemas.openxmlformats.org/officeDocument/2006/relationships/themeOverride" Target="../theme/themeOverride144.xml"/><Relationship Id="rId1" Type="http://schemas.openxmlformats.org/officeDocument/2006/relationships/package" Target="../embeddings/Workbook161.xlsx"/></Relationships>
</file>

<file path=word/charts/_rels/chart162.xml.rels><?xml version="1.0" encoding="UTF-8" standalone="yes"?>
<Relationships xmlns="http://schemas.openxmlformats.org/package/2006/relationships"><Relationship Id="rId2" Type="http://schemas.openxmlformats.org/officeDocument/2006/relationships/themeOverride" Target="../theme/themeOverride145.xml"/><Relationship Id="rId1" Type="http://schemas.openxmlformats.org/officeDocument/2006/relationships/package" Target="../embeddings/Workbook162.xlsx"/></Relationships>
</file>

<file path=word/charts/_rels/chart163.xml.rels><?xml version="1.0" encoding="UTF-8" standalone="yes"?>
<Relationships xmlns="http://schemas.openxmlformats.org/package/2006/relationships"><Relationship Id="rId2" Type="http://schemas.openxmlformats.org/officeDocument/2006/relationships/themeOverride" Target="../theme/themeOverride147.xml"/><Relationship Id="rId1" Type="http://schemas.openxmlformats.org/officeDocument/2006/relationships/package" Target="../embeddings/Workbook164.xlsx"/></Relationships>
</file>

<file path=word/charts/_rels/chart164.xml.rels><?xml version="1.0" encoding="UTF-8" standalone="yes"?>
<Relationships xmlns="http://schemas.openxmlformats.org/package/2006/relationships"><Relationship Id="rId2" Type="http://schemas.openxmlformats.org/officeDocument/2006/relationships/themeOverride" Target="../theme/themeOverride146.xml"/><Relationship Id="rId1" Type="http://schemas.openxmlformats.org/officeDocument/2006/relationships/package" Target="../embeddings/Workbook163.xlsx"/></Relationships>
</file>

<file path=word/charts/_rels/chart165.xml.rels><?xml version="1.0" encoding="UTF-8" standalone="yes"?>
<Relationships xmlns="http://schemas.openxmlformats.org/package/2006/relationships"><Relationship Id="rId2" Type="http://schemas.openxmlformats.org/officeDocument/2006/relationships/themeOverride" Target="../theme/themeOverride148.xml"/><Relationship Id="rId1" Type="http://schemas.openxmlformats.org/officeDocument/2006/relationships/package" Target="../embeddings/Workbook165.xlsx"/></Relationships>
</file>

<file path=word/charts/_rels/chart166.xml.rels><?xml version="1.0" encoding="UTF-8" standalone="yes"?>
<Relationships xmlns="http://schemas.openxmlformats.org/package/2006/relationships"><Relationship Id="rId2" Type="http://schemas.openxmlformats.org/officeDocument/2006/relationships/themeOverride" Target="../theme/themeOverride149.xml"/><Relationship Id="rId1" Type="http://schemas.openxmlformats.org/officeDocument/2006/relationships/package" Target="../embeddings/Workbook166.xlsx"/></Relationships>
</file>

<file path=word/charts/_rels/chart17.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1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20.xml.rels><?xml version="1.0" encoding="UTF-8" standalone="yes"?>
<Relationships xmlns="http://schemas.openxmlformats.org/package/2006/relationships"><Relationship Id="rId2" Type="http://schemas.openxmlformats.org/officeDocument/2006/relationships/themeOverride" Target="../theme/themeOverride19.xml"/><Relationship Id="rId1" Type="http://schemas.openxmlformats.org/officeDocument/2006/relationships/package" Target="../embeddings/Workbook20.xlsx"/></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21.xml"/><Relationship Id="rId1" Type="http://schemas.openxmlformats.org/officeDocument/2006/relationships/package" Target="../embeddings/Workbook22.xlsx"/></Relationships>
</file>

<file path=word/charts/_rels/chart22.xml.rels><?xml version="1.0" encoding="UTF-8" standalone="yes"?>
<Relationships xmlns="http://schemas.openxmlformats.org/package/2006/relationships"><Relationship Id="rId2" Type="http://schemas.openxmlformats.org/officeDocument/2006/relationships/themeOverride" Target="../theme/themeOverride20.xml"/><Relationship Id="rId1" Type="http://schemas.openxmlformats.org/officeDocument/2006/relationships/package" Target="../embeddings/Workbook21.xlsx"/></Relationships>
</file>

<file path=word/charts/_rels/chart23.xml.rels><?xml version="1.0" encoding="UTF-8" standalone="yes"?>
<Relationships xmlns="http://schemas.openxmlformats.org/package/2006/relationships"><Relationship Id="rId2" Type="http://schemas.openxmlformats.org/officeDocument/2006/relationships/themeOverride" Target="../theme/themeOverride22.xml"/><Relationship Id="rId1" Type="http://schemas.openxmlformats.org/officeDocument/2006/relationships/package" Target="../embeddings/Workbook23.xlsx"/></Relationships>
</file>

<file path=word/charts/_rels/chart24.xml.rels><?xml version="1.0" encoding="UTF-8" standalone="yes"?>
<Relationships xmlns="http://schemas.openxmlformats.org/package/2006/relationships"><Relationship Id="rId2" Type="http://schemas.openxmlformats.org/officeDocument/2006/relationships/themeOverride" Target="../theme/themeOverride23.xml"/><Relationship Id="rId1" Type="http://schemas.openxmlformats.org/officeDocument/2006/relationships/package" Target="../embeddings/Workbook24.xlsx"/></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24.xml"/><Relationship Id="rId1" Type="http://schemas.openxmlformats.org/officeDocument/2006/relationships/package" Target="../embeddings/Workbook25.xlsx"/></Relationships>
</file>

<file path=word/charts/_rels/chart26.xml.rels><?xml version="1.0" encoding="UTF-8" standalone="yes"?>
<Relationships xmlns="http://schemas.openxmlformats.org/package/2006/relationships"><Relationship Id="rId2" Type="http://schemas.openxmlformats.org/officeDocument/2006/relationships/themeOverride" Target="../theme/themeOverride26.xml"/><Relationship Id="rId1" Type="http://schemas.openxmlformats.org/officeDocument/2006/relationships/package" Target="../embeddings/Workbook27.xlsx"/></Relationships>
</file>

<file path=word/charts/_rels/chart27.xml.rels><?xml version="1.0" encoding="UTF-8" standalone="yes"?>
<Relationships xmlns="http://schemas.openxmlformats.org/package/2006/relationships"><Relationship Id="rId2" Type="http://schemas.openxmlformats.org/officeDocument/2006/relationships/themeOverride" Target="../theme/themeOverride29.xml"/><Relationship Id="rId1" Type="http://schemas.openxmlformats.org/officeDocument/2006/relationships/package" Target="../embeddings/Workbook30.xlsx"/></Relationships>
</file>

<file path=word/charts/_rels/chart28.xml.rels><?xml version="1.0" encoding="UTF-8" standalone="yes"?>
<Relationships xmlns="http://schemas.openxmlformats.org/package/2006/relationships"><Relationship Id="rId2" Type="http://schemas.openxmlformats.org/officeDocument/2006/relationships/themeOverride" Target="../theme/themeOverride25.xml"/><Relationship Id="rId1" Type="http://schemas.openxmlformats.org/officeDocument/2006/relationships/package" Target="../embeddings/Workbook26.xlsx"/></Relationships>
</file>

<file path=word/charts/_rels/chart29.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package" Target="../embeddings/Workbook28.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30.xml.rels><?xml version="1.0" encoding="UTF-8" standalone="yes"?>
<Relationships xmlns="http://schemas.openxmlformats.org/package/2006/relationships"><Relationship Id="rId2" Type="http://schemas.openxmlformats.org/officeDocument/2006/relationships/themeOverride" Target="../theme/themeOverride31.xml"/><Relationship Id="rId1" Type="http://schemas.openxmlformats.org/officeDocument/2006/relationships/package" Target="../embeddings/Workbook32.xlsx"/></Relationships>
</file>

<file path=word/charts/_rels/chart31.xml.rels><?xml version="1.0" encoding="UTF-8" standalone="yes"?>
<Relationships xmlns="http://schemas.openxmlformats.org/package/2006/relationships"><Relationship Id="rId2" Type="http://schemas.openxmlformats.org/officeDocument/2006/relationships/themeOverride" Target="../theme/themeOverride30.xml"/><Relationship Id="rId1" Type="http://schemas.openxmlformats.org/officeDocument/2006/relationships/package" Target="../embeddings/Workbook31.xlsx"/></Relationships>
</file>

<file path=word/charts/_rels/chart32.xml.rels><?xml version="1.0" encoding="UTF-8" standalone="yes"?>
<Relationships xmlns="http://schemas.openxmlformats.org/package/2006/relationships"><Relationship Id="rId2" Type="http://schemas.openxmlformats.org/officeDocument/2006/relationships/themeOverride" Target="../theme/themeOverride28.xml"/><Relationship Id="rId1" Type="http://schemas.openxmlformats.org/officeDocument/2006/relationships/package" Target="../embeddings/Workbook29.xlsx"/></Relationships>
</file>

<file path=word/charts/_rels/chart33.xml.rels><?xml version="1.0" encoding="UTF-8" standalone="yes"?>
<Relationships xmlns="http://schemas.openxmlformats.org/package/2006/relationships"><Relationship Id="rId2" Type="http://schemas.openxmlformats.org/officeDocument/2006/relationships/themeOverride" Target="../theme/themeOverride33.xml"/><Relationship Id="rId1" Type="http://schemas.openxmlformats.org/officeDocument/2006/relationships/package" Target="../embeddings/Workbook34.xlsx"/></Relationships>
</file>

<file path=word/charts/_rels/chart34.xml.rels><?xml version="1.0" encoding="UTF-8" standalone="yes"?>
<Relationships xmlns="http://schemas.openxmlformats.org/package/2006/relationships"><Relationship Id="rId2" Type="http://schemas.openxmlformats.org/officeDocument/2006/relationships/themeOverride" Target="../theme/themeOverride36.xml"/><Relationship Id="rId1" Type="http://schemas.openxmlformats.org/officeDocument/2006/relationships/package" Target="../embeddings/Workbook37.xlsx"/></Relationships>
</file>

<file path=word/charts/_rels/chart35.xml.rels><?xml version="1.0" encoding="UTF-8" standalone="yes"?>
<Relationships xmlns="http://schemas.openxmlformats.org/package/2006/relationships"><Relationship Id="rId2" Type="http://schemas.openxmlformats.org/officeDocument/2006/relationships/themeOverride" Target="../theme/themeOverride32.xml"/><Relationship Id="rId1" Type="http://schemas.openxmlformats.org/officeDocument/2006/relationships/package" Target="../embeddings/Workbook33.xlsx"/></Relationships>
</file>

<file path=word/charts/_rels/chart36.xml.rels><?xml version="1.0" encoding="UTF-8" standalone="yes"?>
<Relationships xmlns="http://schemas.openxmlformats.org/package/2006/relationships"><Relationship Id="rId2" Type="http://schemas.openxmlformats.org/officeDocument/2006/relationships/themeOverride" Target="../theme/themeOverride35.xml"/><Relationship Id="rId1" Type="http://schemas.openxmlformats.org/officeDocument/2006/relationships/package" Target="../embeddings/Workbook36.xlsx"/></Relationships>
</file>

<file path=word/charts/_rels/chart37.xml.rels><?xml version="1.0" encoding="UTF-8" standalone="yes"?>
<Relationships xmlns="http://schemas.openxmlformats.org/package/2006/relationships"><Relationship Id="rId2" Type="http://schemas.openxmlformats.org/officeDocument/2006/relationships/themeOverride" Target="../theme/themeOverride34.xml"/><Relationship Id="rId1" Type="http://schemas.openxmlformats.org/officeDocument/2006/relationships/package" Target="../embeddings/Workbook35.xlsx"/></Relationships>
</file>

<file path=word/charts/_rels/chart38.xml.rels><?xml version="1.0" encoding="UTF-8" standalone="yes"?>
<Relationships xmlns="http://schemas.openxmlformats.org/package/2006/relationships"><Relationship Id="rId2" Type="http://schemas.openxmlformats.org/officeDocument/2006/relationships/themeOverride" Target="../theme/themeOverride37.xml"/><Relationship Id="rId1" Type="http://schemas.openxmlformats.org/officeDocument/2006/relationships/package" Target="../embeddings/Workbook38.xlsx"/></Relationships>
</file>

<file path=word/charts/_rels/chart39.xml.rels><?xml version="1.0" encoding="UTF-8" standalone="yes"?>
<Relationships xmlns="http://schemas.openxmlformats.org/package/2006/relationships"><Relationship Id="rId2" Type="http://schemas.openxmlformats.org/officeDocument/2006/relationships/themeOverride" Target="../theme/themeOverride39.xml"/><Relationship Id="rId1" Type="http://schemas.openxmlformats.org/officeDocument/2006/relationships/package" Target="../embeddings/Workbook40.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40.xml.rels><?xml version="1.0" encoding="UTF-8" standalone="yes"?>
<Relationships xmlns="http://schemas.openxmlformats.org/package/2006/relationships"><Relationship Id="rId2" Type="http://schemas.openxmlformats.org/officeDocument/2006/relationships/themeOverride" Target="../theme/themeOverride38.xml"/><Relationship Id="rId1" Type="http://schemas.openxmlformats.org/officeDocument/2006/relationships/package" Target="../embeddings/Workbook39.xlsx"/></Relationships>
</file>

<file path=word/charts/_rels/chart41.xml.rels><?xml version="1.0" encoding="UTF-8" standalone="yes"?>
<Relationships xmlns="http://schemas.openxmlformats.org/package/2006/relationships"><Relationship Id="rId2" Type="http://schemas.openxmlformats.org/officeDocument/2006/relationships/themeOverride" Target="../theme/themeOverride40.xml"/><Relationship Id="rId1" Type="http://schemas.openxmlformats.org/officeDocument/2006/relationships/package" Target="../embeddings/Workbook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Workbook43.xlsx"/></Relationships>
</file>

<file path=word/charts/_rels/chart43.xml.rels><?xml version="1.0" encoding="UTF-8" standalone="yes"?>
<Relationships xmlns="http://schemas.openxmlformats.org/package/2006/relationships"><Relationship Id="rId2" Type="http://schemas.openxmlformats.org/officeDocument/2006/relationships/themeOverride" Target="../theme/themeOverride41.xml"/><Relationship Id="rId1" Type="http://schemas.openxmlformats.org/officeDocument/2006/relationships/package" Target="../embeddings/Workbook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Workbook46.xlsx"/></Relationships>
</file>

<file path=word/charts/_rels/chart45.xml.rels><?xml version="1.0" encoding="UTF-8" standalone="yes"?>
<Relationships xmlns="http://schemas.openxmlformats.org/package/2006/relationships"><Relationship Id="rId2" Type="http://schemas.openxmlformats.org/officeDocument/2006/relationships/themeOverride" Target="../theme/themeOverride42.xml"/><Relationship Id="rId1" Type="http://schemas.openxmlformats.org/officeDocument/2006/relationships/package" Target="../embeddings/Workbook4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Workbook50.xlsx"/></Relationships>
</file>

<file path=word/charts/_rels/chart47.xml.rels><?xml version="1.0" encoding="UTF-8" standalone="yes"?>
<Relationships xmlns="http://schemas.openxmlformats.org/package/2006/relationships"><Relationship Id="rId2" Type="http://schemas.openxmlformats.org/officeDocument/2006/relationships/themeOverride" Target="../theme/themeOverride43.xml"/><Relationship Id="rId1" Type="http://schemas.openxmlformats.org/officeDocument/2006/relationships/package" Target="../embeddings/Workbook4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Workbook45.xlsx"/></Relationships>
</file>

<file path=word/charts/_rels/chart49.xml.rels><?xml version="1.0" encoding="UTF-8" standalone="yes"?>
<Relationships xmlns="http://schemas.openxmlformats.org/package/2006/relationships"><Relationship Id="rId2" Type="http://schemas.openxmlformats.org/officeDocument/2006/relationships/themeOverride" Target="../theme/themeOverride44.xml"/><Relationship Id="rId1" Type="http://schemas.openxmlformats.org/officeDocument/2006/relationships/package" Target="../embeddings/Workbook49.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Workbook52.xlsx"/></Relationships>
</file>

<file path=word/charts/_rels/chart51.xml.rels><?xml version="1.0" encoding="UTF-8" standalone="yes"?>
<Relationships xmlns="http://schemas.openxmlformats.org/package/2006/relationships"><Relationship Id="rId2" Type="http://schemas.openxmlformats.org/officeDocument/2006/relationships/themeOverride" Target="../theme/themeOverride45.xml"/><Relationship Id="rId1" Type="http://schemas.openxmlformats.org/officeDocument/2006/relationships/package" Target="../embeddings/Workbook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Workbook44.xlsx"/></Relationships>
</file>

<file path=word/charts/_rels/chart53.xml.rels><?xml version="1.0" encoding="UTF-8" standalone="yes"?>
<Relationships xmlns="http://schemas.openxmlformats.org/package/2006/relationships"><Relationship Id="rId2" Type="http://schemas.openxmlformats.org/officeDocument/2006/relationships/themeOverride" Target="../theme/themeOverride46.xml"/><Relationship Id="rId1" Type="http://schemas.openxmlformats.org/officeDocument/2006/relationships/package" Target="../embeddings/Workbook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Workbook55.xlsx"/></Relationships>
</file>

<file path=word/charts/_rels/chart55.xml.rels><?xml version="1.0" encoding="UTF-8" standalone="yes"?>
<Relationships xmlns="http://schemas.openxmlformats.org/package/2006/relationships"><Relationship Id="rId2" Type="http://schemas.openxmlformats.org/officeDocument/2006/relationships/themeOverride" Target="../theme/themeOverride48.xml"/><Relationship Id="rId1" Type="http://schemas.openxmlformats.org/officeDocument/2006/relationships/package" Target="../embeddings/Workbook56.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Workbook59.xlsx"/></Relationships>
</file>

<file path=word/charts/_rels/chart57.xml.rels><?xml version="1.0" encoding="UTF-8" standalone="yes"?>
<Relationships xmlns="http://schemas.openxmlformats.org/package/2006/relationships"><Relationship Id="rId2" Type="http://schemas.openxmlformats.org/officeDocument/2006/relationships/themeOverride" Target="../theme/themeOverride47.xml"/><Relationship Id="rId1" Type="http://schemas.openxmlformats.org/officeDocument/2006/relationships/package" Target="../embeddings/Workbook54.xlsx"/></Relationships>
</file>

<file path=word/charts/_rels/chart58.xml.rels><?xml version="1.0" encoding="UTF-8" standalone="yes"?>
<Relationships xmlns="http://schemas.openxmlformats.org/package/2006/relationships"><Relationship Id="rId2" Type="http://schemas.openxmlformats.org/officeDocument/2006/relationships/themeOverride" Target="../theme/themeOverride49.xml"/><Relationship Id="rId1" Type="http://schemas.openxmlformats.org/officeDocument/2006/relationships/package" Target="../embeddings/Workbook57.xlsx"/></Relationships>
</file>

<file path=word/charts/_rels/chart59.xml.rels><?xml version="1.0" encoding="UTF-8" standalone="yes"?>
<Relationships xmlns="http://schemas.openxmlformats.org/package/2006/relationships"><Relationship Id="rId2" Type="http://schemas.openxmlformats.org/officeDocument/2006/relationships/themeOverride" Target="../theme/themeOverride50.xml"/><Relationship Id="rId1" Type="http://schemas.openxmlformats.org/officeDocument/2006/relationships/package" Target="../embeddings/Workbook58.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60.xml.rels><?xml version="1.0" encoding="UTF-8" standalone="yes"?>
<Relationships xmlns="http://schemas.openxmlformats.org/package/2006/relationships"><Relationship Id="rId2" Type="http://schemas.openxmlformats.org/officeDocument/2006/relationships/themeOverride" Target="../theme/themeOverride51.xml"/><Relationship Id="rId1" Type="http://schemas.openxmlformats.org/officeDocument/2006/relationships/package" Target="../embeddings/Workbook60.xlsx"/></Relationships>
</file>

<file path=word/charts/_rels/chart61.xml.rels><?xml version="1.0" encoding="UTF-8" standalone="yes"?>
<Relationships xmlns="http://schemas.openxmlformats.org/package/2006/relationships"><Relationship Id="rId2" Type="http://schemas.openxmlformats.org/officeDocument/2006/relationships/themeOverride" Target="../theme/themeOverride52.xml"/><Relationship Id="rId1" Type="http://schemas.openxmlformats.org/officeDocument/2006/relationships/package" Target="../embeddings/Workbook61.xlsx"/></Relationships>
</file>

<file path=word/charts/_rels/chart62.xml.rels><?xml version="1.0" encoding="UTF-8" standalone="yes"?>
<Relationships xmlns="http://schemas.openxmlformats.org/package/2006/relationships"><Relationship Id="rId2" Type="http://schemas.openxmlformats.org/officeDocument/2006/relationships/themeOverride" Target="../theme/themeOverride53.xml"/><Relationship Id="rId1" Type="http://schemas.openxmlformats.org/officeDocument/2006/relationships/package" Target="../embeddings/Workbook62.xlsx"/></Relationships>
</file>

<file path=word/charts/_rels/chart63.xml.rels><?xml version="1.0" encoding="UTF-8" standalone="yes"?>
<Relationships xmlns="http://schemas.openxmlformats.org/package/2006/relationships"><Relationship Id="rId2" Type="http://schemas.openxmlformats.org/officeDocument/2006/relationships/themeOverride" Target="../theme/themeOverride55.xml"/><Relationship Id="rId1" Type="http://schemas.openxmlformats.org/officeDocument/2006/relationships/package" Target="../embeddings/Workbook64.xlsx"/></Relationships>
</file>

<file path=word/charts/_rels/chart64.xml.rels><?xml version="1.0" encoding="UTF-8" standalone="yes"?>
<Relationships xmlns="http://schemas.openxmlformats.org/package/2006/relationships"><Relationship Id="rId2" Type="http://schemas.openxmlformats.org/officeDocument/2006/relationships/themeOverride" Target="../theme/themeOverride54.xml"/><Relationship Id="rId1" Type="http://schemas.openxmlformats.org/officeDocument/2006/relationships/package" Target="../embeddings/Workbook63.xlsx"/></Relationships>
</file>

<file path=word/charts/_rels/chart65.xml.rels><?xml version="1.0" encoding="UTF-8" standalone="yes"?>
<Relationships xmlns="http://schemas.openxmlformats.org/package/2006/relationships"><Relationship Id="rId2" Type="http://schemas.openxmlformats.org/officeDocument/2006/relationships/themeOverride" Target="../theme/themeOverride57.xml"/><Relationship Id="rId1" Type="http://schemas.openxmlformats.org/officeDocument/2006/relationships/package" Target="../embeddings/Workbook67.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Workbook65.xlsx"/></Relationships>
</file>

<file path=word/charts/_rels/chart67.xml.rels><?xml version="1.0" encoding="UTF-8" standalone="yes"?>
<Relationships xmlns="http://schemas.openxmlformats.org/package/2006/relationships"><Relationship Id="rId2" Type="http://schemas.openxmlformats.org/officeDocument/2006/relationships/themeOverride" Target="../theme/themeOverride58.xml"/><Relationship Id="rId1" Type="http://schemas.openxmlformats.org/officeDocument/2006/relationships/package" Target="../embeddings/Workbook68.xlsx"/></Relationships>
</file>

<file path=word/charts/_rels/chart68.xml.rels><?xml version="1.0" encoding="UTF-8" standalone="yes"?>
<Relationships xmlns="http://schemas.openxmlformats.org/package/2006/relationships"><Relationship Id="rId2" Type="http://schemas.openxmlformats.org/officeDocument/2006/relationships/themeOverride" Target="../theme/themeOverride56.xml"/><Relationship Id="rId1" Type="http://schemas.openxmlformats.org/officeDocument/2006/relationships/package" Target="../embeddings/Workbook66.xlsx"/></Relationships>
</file>

<file path=word/charts/_rels/chart69.xml.rels><?xml version="1.0" encoding="UTF-8" standalone="yes"?>
<Relationships xmlns="http://schemas.openxmlformats.org/package/2006/relationships"><Relationship Id="rId2" Type="http://schemas.openxmlformats.org/officeDocument/2006/relationships/themeOverride" Target="../theme/themeOverride59.xml"/><Relationship Id="rId1" Type="http://schemas.openxmlformats.org/officeDocument/2006/relationships/package" Target="../embeddings/Workbook69.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70.xml.rels><?xml version="1.0" encoding="UTF-8" standalone="yes"?>
<Relationships xmlns="http://schemas.openxmlformats.org/package/2006/relationships"><Relationship Id="rId2" Type="http://schemas.openxmlformats.org/officeDocument/2006/relationships/themeOverride" Target="../theme/themeOverride60.xml"/><Relationship Id="rId1" Type="http://schemas.openxmlformats.org/officeDocument/2006/relationships/package" Target="../embeddings/Workbook70.xlsx"/></Relationships>
</file>

<file path=word/charts/_rels/chart71.xml.rels><?xml version="1.0" encoding="UTF-8" standalone="yes"?>
<Relationships xmlns="http://schemas.openxmlformats.org/package/2006/relationships"><Relationship Id="rId2" Type="http://schemas.openxmlformats.org/officeDocument/2006/relationships/themeOverride" Target="../theme/themeOverride61.xml"/><Relationship Id="rId1" Type="http://schemas.openxmlformats.org/officeDocument/2006/relationships/package" Target="../embeddings/Workbook71.xlsx"/></Relationships>
</file>

<file path=word/charts/_rels/chart72.xml.rels><?xml version="1.0" encoding="UTF-8" standalone="yes"?>
<Relationships xmlns="http://schemas.openxmlformats.org/package/2006/relationships"><Relationship Id="rId2" Type="http://schemas.openxmlformats.org/officeDocument/2006/relationships/themeOverride" Target="../theme/themeOverride62.xml"/><Relationship Id="rId1" Type="http://schemas.openxmlformats.org/officeDocument/2006/relationships/package" Target="../embeddings/Workbook72.xlsx"/></Relationships>
</file>

<file path=word/charts/_rels/chart73.xml.rels><?xml version="1.0" encoding="UTF-8" standalone="yes"?>
<Relationships xmlns="http://schemas.openxmlformats.org/package/2006/relationships"><Relationship Id="rId2" Type="http://schemas.openxmlformats.org/officeDocument/2006/relationships/themeOverride" Target="../theme/themeOverride63.xml"/><Relationship Id="rId1" Type="http://schemas.openxmlformats.org/officeDocument/2006/relationships/package" Target="../embeddings/Workbook73.xlsx"/></Relationships>
</file>

<file path=word/charts/_rels/chart74.xml.rels><?xml version="1.0" encoding="UTF-8" standalone="yes"?>
<Relationships xmlns="http://schemas.openxmlformats.org/package/2006/relationships"><Relationship Id="rId2" Type="http://schemas.openxmlformats.org/officeDocument/2006/relationships/themeOverride" Target="../theme/themeOverride65.xml"/><Relationship Id="rId1" Type="http://schemas.openxmlformats.org/officeDocument/2006/relationships/package" Target="../embeddings/Workbook75.xlsx"/></Relationships>
</file>

<file path=word/charts/_rels/chart75.xml.rels><?xml version="1.0" encoding="UTF-8" standalone="yes"?>
<Relationships xmlns="http://schemas.openxmlformats.org/package/2006/relationships"><Relationship Id="rId2" Type="http://schemas.openxmlformats.org/officeDocument/2006/relationships/themeOverride" Target="../theme/themeOverride64.xml"/><Relationship Id="rId1" Type="http://schemas.openxmlformats.org/officeDocument/2006/relationships/package" Target="../embeddings/Workbook74.xlsx"/></Relationships>
</file>

<file path=word/charts/_rels/chart76.xml.rels><?xml version="1.0" encoding="UTF-8" standalone="yes"?>
<Relationships xmlns="http://schemas.openxmlformats.org/package/2006/relationships"><Relationship Id="rId2" Type="http://schemas.openxmlformats.org/officeDocument/2006/relationships/themeOverride" Target="../theme/themeOverride66.xml"/><Relationship Id="rId1" Type="http://schemas.openxmlformats.org/officeDocument/2006/relationships/package" Target="../embeddings/Workbook76.xlsx"/></Relationships>
</file>

<file path=word/charts/_rels/chart77.xml.rels><?xml version="1.0" encoding="UTF-8" standalone="yes"?>
<Relationships xmlns="http://schemas.openxmlformats.org/package/2006/relationships"><Relationship Id="rId2" Type="http://schemas.openxmlformats.org/officeDocument/2006/relationships/themeOverride" Target="../theme/themeOverride67.xml"/><Relationship Id="rId1" Type="http://schemas.openxmlformats.org/officeDocument/2006/relationships/package" Target="../embeddings/Workbook77.xlsx"/></Relationships>
</file>

<file path=word/charts/_rels/chart78.xml.rels><?xml version="1.0" encoding="UTF-8" standalone="yes"?>
<Relationships xmlns="http://schemas.openxmlformats.org/package/2006/relationships"><Relationship Id="rId2" Type="http://schemas.openxmlformats.org/officeDocument/2006/relationships/themeOverride" Target="../theme/themeOverride68.xml"/><Relationship Id="rId1" Type="http://schemas.openxmlformats.org/officeDocument/2006/relationships/package" Target="../embeddings/Workbook78.xlsx"/></Relationships>
</file>

<file path=word/charts/_rels/chart79.xml.rels><?xml version="1.0" encoding="UTF-8" standalone="yes"?>
<Relationships xmlns="http://schemas.openxmlformats.org/package/2006/relationships"><Relationship Id="rId2" Type="http://schemas.openxmlformats.org/officeDocument/2006/relationships/themeOverride" Target="../theme/themeOverride71.xml"/><Relationship Id="rId1" Type="http://schemas.openxmlformats.org/officeDocument/2006/relationships/package" Target="../embeddings/Workbook81.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80.xml.rels><?xml version="1.0" encoding="UTF-8" standalone="yes"?>
<Relationships xmlns="http://schemas.openxmlformats.org/package/2006/relationships"><Relationship Id="rId2" Type="http://schemas.openxmlformats.org/officeDocument/2006/relationships/themeOverride" Target="../theme/themeOverride69.xml"/><Relationship Id="rId1" Type="http://schemas.openxmlformats.org/officeDocument/2006/relationships/package" Target="../embeddings/Workbook79.xlsx"/></Relationships>
</file>

<file path=word/charts/_rels/chart81.xml.rels><?xml version="1.0" encoding="UTF-8" standalone="yes"?>
<Relationships xmlns="http://schemas.openxmlformats.org/package/2006/relationships"><Relationship Id="rId2" Type="http://schemas.openxmlformats.org/officeDocument/2006/relationships/themeOverride" Target="../theme/themeOverride70.xml"/><Relationship Id="rId1" Type="http://schemas.openxmlformats.org/officeDocument/2006/relationships/package" Target="../embeddings/Workbook80.xlsx"/></Relationships>
</file>

<file path=word/charts/_rels/chart82.xml.rels><?xml version="1.0" encoding="UTF-8" standalone="yes"?>
<Relationships xmlns="http://schemas.openxmlformats.org/package/2006/relationships"><Relationship Id="rId2" Type="http://schemas.openxmlformats.org/officeDocument/2006/relationships/themeOverride" Target="../theme/themeOverride72.xml"/><Relationship Id="rId1" Type="http://schemas.openxmlformats.org/officeDocument/2006/relationships/package" Target="../embeddings/Workbook82.xlsx"/></Relationships>
</file>

<file path=word/charts/_rels/chart83.xml.rels><?xml version="1.0" encoding="UTF-8" standalone="yes"?>
<Relationships xmlns="http://schemas.openxmlformats.org/package/2006/relationships"><Relationship Id="rId2" Type="http://schemas.openxmlformats.org/officeDocument/2006/relationships/themeOverride" Target="../theme/themeOverride74.xml"/><Relationship Id="rId1" Type="http://schemas.openxmlformats.org/officeDocument/2006/relationships/package" Target="../embeddings/Workbook85.xlsx"/></Relationships>
</file>

<file path=word/charts/_rels/chart84.xml.rels><?xml version="1.0" encoding="UTF-8" standalone="yes"?>
<Relationships xmlns="http://schemas.openxmlformats.org/package/2006/relationships"><Relationship Id="rId2" Type="http://schemas.openxmlformats.org/officeDocument/2006/relationships/themeOverride" Target="../theme/themeOverride73.xml"/><Relationship Id="rId1" Type="http://schemas.openxmlformats.org/officeDocument/2006/relationships/package" Target="../embeddings/Workbook84.xlsx"/></Relationships>
</file>

<file path=word/charts/_rels/chart85.xml.rels><?xml version="1.0" encoding="UTF-8" standalone="yes"?>
<Relationships xmlns="http://schemas.openxmlformats.org/package/2006/relationships"><Relationship Id="rId2" Type="http://schemas.openxmlformats.org/officeDocument/2006/relationships/themeOverride" Target="../theme/themeOverride75.xml"/><Relationship Id="rId1" Type="http://schemas.openxmlformats.org/officeDocument/2006/relationships/package" Target="../embeddings/Workbook86.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Workbook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Workbook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Workbook89.xlsx"/></Relationships>
</file>

<file path=word/charts/_rels/chart89.xml.rels><?xml version="1.0" encoding="UTF-8" standalone="yes"?>
<Relationships xmlns="http://schemas.openxmlformats.org/package/2006/relationships"><Relationship Id="rId2" Type="http://schemas.openxmlformats.org/officeDocument/2006/relationships/themeOverride" Target="../theme/themeOverride76.xml"/><Relationship Id="rId1" Type="http://schemas.openxmlformats.org/officeDocument/2006/relationships/package" Target="../embeddings/Workbook88.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90.xml.rels><?xml version="1.0" encoding="UTF-8" standalone="yes"?>
<Relationships xmlns="http://schemas.openxmlformats.org/package/2006/relationships"><Relationship Id="rId2" Type="http://schemas.openxmlformats.org/officeDocument/2006/relationships/themeOverride" Target="../theme/themeOverride77.xml"/><Relationship Id="rId1" Type="http://schemas.openxmlformats.org/officeDocument/2006/relationships/package" Target="../embeddings/Workbook90.xlsx"/></Relationships>
</file>

<file path=word/charts/_rels/chart91.xml.rels><?xml version="1.0" encoding="UTF-8" standalone="yes"?>
<Relationships xmlns="http://schemas.openxmlformats.org/package/2006/relationships"><Relationship Id="rId2" Type="http://schemas.openxmlformats.org/officeDocument/2006/relationships/themeOverride" Target="../theme/themeOverride78.xml"/><Relationship Id="rId1" Type="http://schemas.openxmlformats.org/officeDocument/2006/relationships/package" Target="../embeddings/Workbook91.xlsx"/></Relationships>
</file>

<file path=word/charts/_rels/chart92.xml.rels><?xml version="1.0" encoding="UTF-8" standalone="yes"?>
<Relationships xmlns="http://schemas.openxmlformats.org/package/2006/relationships"><Relationship Id="rId2" Type="http://schemas.openxmlformats.org/officeDocument/2006/relationships/themeOverride" Target="../theme/themeOverride80.xml"/><Relationship Id="rId1" Type="http://schemas.openxmlformats.org/officeDocument/2006/relationships/package" Target="../embeddings/Workbook93.xlsx"/></Relationships>
</file>

<file path=word/charts/_rels/chart93.xml.rels><?xml version="1.0" encoding="UTF-8" standalone="yes"?>
<Relationships xmlns="http://schemas.openxmlformats.org/package/2006/relationships"><Relationship Id="rId2" Type="http://schemas.openxmlformats.org/officeDocument/2006/relationships/themeOverride" Target="../theme/themeOverride79.xml"/><Relationship Id="rId1" Type="http://schemas.openxmlformats.org/officeDocument/2006/relationships/package" Target="../embeddings/Workbook92.xlsx"/></Relationships>
</file>

<file path=word/charts/_rels/chart94.xml.rels><?xml version="1.0" encoding="UTF-8" standalone="yes"?>
<Relationships xmlns="http://schemas.openxmlformats.org/package/2006/relationships"><Relationship Id="rId2" Type="http://schemas.openxmlformats.org/officeDocument/2006/relationships/themeOverride" Target="../theme/themeOverride82.xml"/><Relationship Id="rId1" Type="http://schemas.openxmlformats.org/officeDocument/2006/relationships/package" Target="../embeddings/Workbook95.xlsx"/></Relationships>
</file>

<file path=word/charts/_rels/chart95.xml.rels><?xml version="1.0" encoding="UTF-8" standalone="yes"?>
<Relationships xmlns="http://schemas.openxmlformats.org/package/2006/relationships"><Relationship Id="rId2" Type="http://schemas.openxmlformats.org/officeDocument/2006/relationships/themeOverride" Target="../theme/themeOverride81.xml"/><Relationship Id="rId1" Type="http://schemas.openxmlformats.org/officeDocument/2006/relationships/package" Target="../embeddings/Workbook94.xlsx"/></Relationships>
</file>

<file path=word/charts/_rels/chart96.xml.rels><?xml version="1.0" encoding="UTF-8" standalone="yes"?>
<Relationships xmlns="http://schemas.openxmlformats.org/package/2006/relationships"><Relationship Id="rId2" Type="http://schemas.openxmlformats.org/officeDocument/2006/relationships/themeOverride" Target="../theme/themeOverride83.xml"/><Relationship Id="rId1" Type="http://schemas.openxmlformats.org/officeDocument/2006/relationships/package" Target="../embeddings/Workbook96.xlsx"/></Relationships>
</file>

<file path=word/charts/_rels/chart97.xml.rels><?xml version="1.0" encoding="UTF-8" standalone="yes"?>
<Relationships xmlns="http://schemas.openxmlformats.org/package/2006/relationships"><Relationship Id="rId2" Type="http://schemas.openxmlformats.org/officeDocument/2006/relationships/themeOverride" Target="../theme/themeOverride84.xml"/><Relationship Id="rId1" Type="http://schemas.openxmlformats.org/officeDocument/2006/relationships/package" Target="../embeddings/Workbook97.xlsx"/></Relationships>
</file>

<file path=word/charts/_rels/chart98.xml.rels><?xml version="1.0" encoding="UTF-8" standalone="yes"?>
<Relationships xmlns="http://schemas.openxmlformats.org/package/2006/relationships"><Relationship Id="rId2" Type="http://schemas.openxmlformats.org/officeDocument/2006/relationships/themeOverride" Target="../theme/themeOverride85.xml"/><Relationship Id="rId1" Type="http://schemas.openxmlformats.org/officeDocument/2006/relationships/package" Target="../embeddings/Workbook98.xlsx"/></Relationships>
</file>

<file path=word/charts/_rels/chart99.xml.rels><?xml version="1.0" encoding="UTF-8" standalone="yes"?>
<Relationships xmlns="http://schemas.openxmlformats.org/package/2006/relationships"><Relationship Id="rId2" Type="http://schemas.openxmlformats.org/officeDocument/2006/relationships/themeOverride" Target="../theme/themeOverride86.xml"/><Relationship Id="rId1" Type="http://schemas.openxmlformats.org/officeDocument/2006/relationships/package" Target="../embeddings/Workbook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2"/>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Sheet1!$A$2:$A$10</c:f>
              <c:strCache>
                <c:ptCount val="9"/>
                <c:pt idx="0">
                  <c:v>机关</c:v>
                </c:pt>
                <c:pt idx="1">
                  <c:v>科研设计单位</c:v>
                </c:pt>
                <c:pt idx="2">
                  <c:v>高等教育单位</c:v>
                </c:pt>
                <c:pt idx="3">
                  <c:v>其他事业单位</c:v>
                </c:pt>
                <c:pt idx="4">
                  <c:v>国有企业</c:v>
                </c:pt>
                <c:pt idx="5">
                  <c:v>其他企业(民营/私营企业等)</c:v>
                </c:pt>
                <c:pt idx="6">
                  <c:v>部队</c:v>
                </c:pt>
                <c:pt idx="7">
                  <c:v>农村建制村</c:v>
                </c:pt>
                <c:pt idx="8">
                  <c:v>其他</c:v>
                </c:pt>
              </c:strCache>
            </c:strRef>
          </c:cat>
          <c:val>
            <c:numRef>
              <c:f>Sheet1!$B$2:$B$10</c:f>
              <c:numCache>
                <c:formatCode>0.0%</c:formatCode>
                <c:ptCount val="9"/>
                <c:pt idx="0">
                  <c:v>0.042</c:v>
                </c:pt>
                <c:pt idx="1">
                  <c:v>0.005</c:v>
                </c:pt>
                <c:pt idx="2">
                  <c:v>0.089</c:v>
                </c:pt>
                <c:pt idx="3">
                  <c:v>0.347</c:v>
                </c:pt>
                <c:pt idx="4">
                  <c:v>0.019</c:v>
                </c:pt>
                <c:pt idx="5">
                  <c:v>0.207</c:v>
                </c:pt>
                <c:pt idx="6">
                  <c:v>0.005</c:v>
                </c:pt>
                <c:pt idx="7">
                  <c:v>0.014</c:v>
                </c:pt>
                <c:pt idx="8">
                  <c:v>0.272</c:v>
                </c:pt>
              </c:numCache>
            </c:numRef>
          </c:val>
        </c:ser>
        <c:dLbls>
          <c:showLegendKey val="0"/>
          <c:showVal val="0"/>
          <c:showCatName val="0"/>
          <c:showSerName val="0"/>
          <c:showPercent val="0"/>
          <c:showBubbleSize val="0"/>
        </c:dLbls>
        <c:gapWidth val="80"/>
        <c:axId val="324872832"/>
        <c:axId val="324942080"/>
      </c:barChart>
      <c:catAx>
        <c:axId val="3248728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942080"/>
        <c:crosses val="autoZero"/>
        <c:auto val="1"/>
        <c:lblAlgn val="ctr"/>
        <c:lblOffset val="100"/>
        <c:tickLblSkip val="1"/>
        <c:noMultiLvlLbl val="0"/>
      </c:catAx>
      <c:valAx>
        <c:axId val="3249420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8728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Sheet1!$A$2:$A$2</c:f>
              <c:strCache>
                <c:ptCount val="1"/>
                <c:pt idx="0">
                  <c:v>自主选择</c:v>
                </c:pt>
              </c:strCache>
            </c:strRef>
          </c:cat>
          <c:val>
            <c:numRef>
              <c:f>Sheet1!$B$2:$B$2</c:f>
              <c:numCache>
                <c:formatCode>0.0%</c:formatCode>
                <c:ptCount val="1"/>
                <c:pt idx="0">
                  <c:v>1</c:v>
                </c:pt>
              </c:numCache>
            </c:numRef>
          </c:val>
        </c:ser>
        <c:dLbls>
          <c:showLegendKey val="0"/>
          <c:showVal val="0"/>
          <c:showCatName val="0"/>
          <c:showSerName val="0"/>
          <c:showPercent val="0"/>
          <c:showBubbleSize val="0"/>
        </c:dLbls>
        <c:gapWidth val="80"/>
        <c:axId val="182643712"/>
        <c:axId val="182649600"/>
      </c:barChart>
      <c:catAx>
        <c:axId val="18264371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49600"/>
        <c:crosses val="autoZero"/>
        <c:auto val="1"/>
        <c:lblAlgn val="ctr"/>
        <c:lblOffset val="100"/>
        <c:tickLblSkip val="1"/>
        <c:noMultiLvlLbl val="0"/>
      </c:catAx>
      <c:valAx>
        <c:axId val="18264960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4371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912196437682186"/>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很多</c:v>
                </c:pt>
                <c:pt idx="1">
                  <c:v>多</c:v>
                </c:pt>
                <c:pt idx="2">
                  <c:v>不好说</c:v>
                </c:pt>
              </c:strCache>
            </c:strRef>
          </c:cat>
          <c:val>
            <c:numRef>
              <c:f>Sheet1!$B$2:$B$4</c:f>
              <c:numCache>
                <c:formatCode>0.0%</c:formatCode>
                <c:ptCount val="3"/>
                <c:pt idx="0">
                  <c:v>0.5</c:v>
                </c:pt>
                <c:pt idx="1">
                  <c:v>0.357</c:v>
                </c:pt>
                <c:pt idx="2">
                  <c:v>0.143</c:v>
                </c:pt>
              </c:numCache>
            </c:numRef>
          </c:val>
        </c:ser>
        <c:dLbls>
          <c:showLegendKey val="0"/>
          <c:showVal val="0"/>
          <c:showCatName val="0"/>
          <c:showSerName val="0"/>
          <c:showPercent val="0"/>
          <c:showBubbleSize val="0"/>
        </c:dLbls>
        <c:gapWidth val="80"/>
        <c:axId val="423859328"/>
        <c:axId val="423860864"/>
      </c:barChart>
      <c:catAx>
        <c:axId val="4238593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860864"/>
        <c:crosses val="autoZero"/>
        <c:auto val="1"/>
        <c:lblAlgn val="ctr"/>
        <c:lblOffset val="100"/>
        <c:tickLblSkip val="1"/>
        <c:noMultiLvlLbl val="0"/>
      </c:catAx>
      <c:valAx>
        <c:axId val="4238608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8593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4.38</c:v>
                </c:pt>
                <c:pt idx="1">
                  <c:v>4.43</c:v>
                </c:pt>
                <c:pt idx="2">
                  <c:v>4</c:v>
                </c:pt>
              </c:numCache>
            </c:numRef>
          </c:val>
        </c:ser>
        <c:dLbls>
          <c:showLegendKey val="0"/>
          <c:showVal val="0"/>
          <c:showCatName val="0"/>
          <c:showSerName val="0"/>
          <c:showPercent val="0"/>
          <c:showBubbleSize val="0"/>
        </c:dLbls>
        <c:gapWidth val="80"/>
        <c:axId val="423955072"/>
        <c:axId val="423973248"/>
      </c:barChart>
      <c:catAx>
        <c:axId val="42395507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973248"/>
        <c:crosses val="autoZero"/>
        <c:auto val="1"/>
        <c:lblAlgn val="ctr"/>
        <c:lblOffset val="100"/>
        <c:tickLblSkip val="1"/>
        <c:noMultiLvlLbl val="0"/>
      </c:catAx>
      <c:valAx>
        <c:axId val="42397324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95507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很多</c:v>
                </c:pt>
                <c:pt idx="1">
                  <c:v>多</c:v>
                </c:pt>
                <c:pt idx="2">
                  <c:v>不好说</c:v>
                </c:pt>
              </c:strCache>
            </c:strRef>
          </c:cat>
          <c:val>
            <c:numRef>
              <c:f>Sheet1!$B$2:$B$4</c:f>
              <c:numCache>
                <c:formatCode>0.0%</c:formatCode>
                <c:ptCount val="3"/>
                <c:pt idx="0">
                  <c:v>0.381000000000001</c:v>
                </c:pt>
                <c:pt idx="1">
                  <c:v>0.429</c:v>
                </c:pt>
                <c:pt idx="2">
                  <c:v>0.19</c:v>
                </c:pt>
              </c:numCache>
            </c:numRef>
          </c:val>
        </c:ser>
        <c:dLbls>
          <c:showLegendKey val="0"/>
          <c:showVal val="0"/>
          <c:showCatName val="0"/>
          <c:showSerName val="0"/>
          <c:showPercent val="0"/>
          <c:showBubbleSize val="0"/>
        </c:dLbls>
        <c:gapWidth val="80"/>
        <c:axId val="423936384"/>
        <c:axId val="423937920"/>
      </c:barChart>
      <c:catAx>
        <c:axId val="42393638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937920"/>
        <c:crosses val="autoZero"/>
        <c:auto val="1"/>
        <c:lblAlgn val="ctr"/>
        <c:lblOffset val="100"/>
        <c:tickLblSkip val="1"/>
        <c:noMultiLvlLbl val="0"/>
      </c:catAx>
      <c:valAx>
        <c:axId val="42393792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93638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4.31</c:v>
                </c:pt>
                <c:pt idx="1">
                  <c:v>4.19</c:v>
                </c:pt>
                <c:pt idx="2">
                  <c:v>3.8</c:v>
                </c:pt>
              </c:numCache>
            </c:numRef>
          </c:val>
        </c:ser>
        <c:dLbls>
          <c:showLegendKey val="0"/>
          <c:showVal val="0"/>
          <c:showCatName val="0"/>
          <c:showSerName val="0"/>
          <c:showPercent val="0"/>
          <c:showBubbleSize val="0"/>
        </c:dLbls>
        <c:gapWidth val="80"/>
        <c:axId val="424089472"/>
        <c:axId val="424091008"/>
      </c:barChart>
      <c:catAx>
        <c:axId val="42408947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091008"/>
        <c:crosses val="autoZero"/>
        <c:auto val="1"/>
        <c:lblAlgn val="ctr"/>
        <c:lblOffset val="100"/>
        <c:tickLblSkip val="1"/>
        <c:noMultiLvlLbl val="0"/>
      </c:catAx>
      <c:valAx>
        <c:axId val="42409100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08947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很高</c:v>
                </c:pt>
                <c:pt idx="1">
                  <c:v>高</c:v>
                </c:pt>
                <c:pt idx="2">
                  <c:v>不好说</c:v>
                </c:pt>
                <c:pt idx="3">
                  <c:v>低</c:v>
                </c:pt>
                <c:pt idx="4">
                  <c:v>很低</c:v>
                </c:pt>
              </c:strCache>
            </c:strRef>
          </c:cat>
          <c:val>
            <c:numRef>
              <c:f>Sheet1!$B$2:$B$6</c:f>
              <c:numCache>
                <c:formatCode>0.0%</c:formatCode>
                <c:ptCount val="5"/>
                <c:pt idx="0">
                  <c:v>0.214</c:v>
                </c:pt>
                <c:pt idx="1">
                  <c:v>0.238</c:v>
                </c:pt>
                <c:pt idx="2">
                  <c:v>0.405</c:v>
                </c:pt>
                <c:pt idx="3">
                  <c:v>0.119</c:v>
                </c:pt>
                <c:pt idx="4">
                  <c:v>0.024</c:v>
                </c:pt>
              </c:numCache>
            </c:numRef>
          </c:val>
        </c:ser>
        <c:dLbls>
          <c:showLegendKey val="0"/>
          <c:showVal val="0"/>
          <c:showCatName val="0"/>
          <c:showSerName val="0"/>
          <c:showPercent val="0"/>
          <c:showBubbleSize val="0"/>
        </c:dLbls>
        <c:gapWidth val="80"/>
        <c:axId val="424070528"/>
        <c:axId val="424121472"/>
      </c:barChart>
      <c:catAx>
        <c:axId val="4240705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121472"/>
        <c:crosses val="autoZero"/>
        <c:auto val="1"/>
        <c:lblAlgn val="ctr"/>
        <c:lblOffset val="100"/>
        <c:tickLblSkip val="1"/>
        <c:noMultiLvlLbl val="0"/>
      </c:catAx>
      <c:valAx>
        <c:axId val="42412147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0705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3.63</c:v>
                </c:pt>
                <c:pt idx="1">
                  <c:v>3.62</c:v>
                </c:pt>
                <c:pt idx="2">
                  <c:v>2.6</c:v>
                </c:pt>
              </c:numCache>
            </c:numRef>
          </c:val>
        </c:ser>
        <c:dLbls>
          <c:showLegendKey val="0"/>
          <c:showVal val="0"/>
          <c:showCatName val="0"/>
          <c:showSerName val="0"/>
          <c:showPercent val="0"/>
          <c:showBubbleSize val="0"/>
        </c:dLbls>
        <c:gapWidth val="80"/>
        <c:axId val="424055936"/>
        <c:axId val="424057472"/>
      </c:barChart>
      <c:catAx>
        <c:axId val="4240559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057472"/>
        <c:crosses val="autoZero"/>
        <c:auto val="1"/>
        <c:lblAlgn val="ctr"/>
        <c:lblOffset val="100"/>
        <c:tickLblSkip val="1"/>
        <c:noMultiLvlLbl val="0"/>
      </c:catAx>
      <c:valAx>
        <c:axId val="42405747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0559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0.476</c:v>
                </c:pt>
                <c:pt idx="1">
                  <c:v>0.405</c:v>
                </c:pt>
                <c:pt idx="2">
                  <c:v>0.048</c:v>
                </c:pt>
                <c:pt idx="3">
                  <c:v>0.071</c:v>
                </c:pt>
              </c:numCache>
            </c:numRef>
          </c:val>
        </c:ser>
        <c:dLbls>
          <c:showLegendKey val="0"/>
          <c:showVal val="0"/>
          <c:showCatName val="0"/>
          <c:showSerName val="0"/>
          <c:showPercent val="0"/>
          <c:showBubbleSize val="0"/>
        </c:dLbls>
        <c:gapWidth val="80"/>
        <c:axId val="424192640"/>
        <c:axId val="424333696"/>
      </c:barChart>
      <c:catAx>
        <c:axId val="4241926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333696"/>
        <c:crosses val="autoZero"/>
        <c:auto val="1"/>
        <c:lblAlgn val="ctr"/>
        <c:lblOffset val="100"/>
        <c:tickLblSkip val="1"/>
        <c:noMultiLvlLbl val="0"/>
      </c:catAx>
      <c:valAx>
        <c:axId val="4243336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1926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4.31</c:v>
                </c:pt>
                <c:pt idx="1">
                  <c:v>4.33</c:v>
                </c:pt>
                <c:pt idx="2">
                  <c:v>4</c:v>
                </c:pt>
              </c:numCache>
            </c:numRef>
          </c:val>
        </c:ser>
        <c:dLbls>
          <c:showLegendKey val="0"/>
          <c:showVal val="0"/>
          <c:showCatName val="0"/>
          <c:showSerName val="0"/>
          <c:showPercent val="0"/>
          <c:showBubbleSize val="0"/>
        </c:dLbls>
        <c:gapWidth val="80"/>
        <c:axId val="424280448"/>
        <c:axId val="424281984"/>
      </c:barChart>
      <c:catAx>
        <c:axId val="4242804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281984"/>
        <c:crosses val="autoZero"/>
        <c:auto val="1"/>
        <c:lblAlgn val="ctr"/>
        <c:lblOffset val="100"/>
        <c:tickLblSkip val="1"/>
        <c:noMultiLvlLbl val="0"/>
      </c:catAx>
      <c:valAx>
        <c:axId val="424281984"/>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2804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很满意</c:v>
                </c:pt>
                <c:pt idx="1">
                  <c:v>满意</c:v>
                </c:pt>
                <c:pt idx="2">
                  <c:v>不好说</c:v>
                </c:pt>
              </c:strCache>
            </c:strRef>
          </c:cat>
          <c:val>
            <c:numRef>
              <c:f>Sheet1!$B$2:$B$4</c:f>
              <c:numCache>
                <c:formatCode>0.0%</c:formatCode>
                <c:ptCount val="3"/>
                <c:pt idx="0">
                  <c:v>0.833000000000001</c:v>
                </c:pt>
                <c:pt idx="1">
                  <c:v>0.143</c:v>
                </c:pt>
                <c:pt idx="2">
                  <c:v>0.024</c:v>
                </c:pt>
              </c:numCache>
            </c:numRef>
          </c:val>
        </c:ser>
        <c:dLbls>
          <c:showLegendKey val="0"/>
          <c:showVal val="0"/>
          <c:showCatName val="0"/>
          <c:showSerName val="0"/>
          <c:showPercent val="0"/>
          <c:showBubbleSize val="0"/>
        </c:dLbls>
        <c:gapWidth val="80"/>
        <c:axId val="424507264"/>
        <c:axId val="424508800"/>
      </c:barChart>
      <c:catAx>
        <c:axId val="4245072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508800"/>
        <c:crosses val="autoZero"/>
        <c:auto val="1"/>
        <c:lblAlgn val="ctr"/>
        <c:lblOffset val="100"/>
        <c:tickLblSkip val="1"/>
        <c:noMultiLvlLbl val="0"/>
      </c:catAx>
      <c:valAx>
        <c:axId val="42450880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45072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4.88</c:v>
                </c:pt>
                <c:pt idx="1">
                  <c:v>4.81</c:v>
                </c:pt>
                <c:pt idx="2">
                  <c:v>4.6</c:v>
                </c:pt>
              </c:numCache>
            </c:numRef>
          </c:val>
        </c:ser>
        <c:dLbls>
          <c:showLegendKey val="0"/>
          <c:showVal val="0"/>
          <c:showCatName val="0"/>
          <c:showSerName val="0"/>
          <c:showPercent val="0"/>
          <c:showBubbleSize val="0"/>
        </c:dLbls>
        <c:gapWidth val="80"/>
        <c:axId val="433192320"/>
        <c:axId val="433202304"/>
      </c:barChart>
      <c:catAx>
        <c:axId val="4331923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202304"/>
        <c:crosses val="autoZero"/>
        <c:auto val="1"/>
        <c:lblAlgn val="ctr"/>
        <c:lblOffset val="100"/>
        <c:tickLblSkip val="1"/>
        <c:noMultiLvlLbl val="0"/>
      </c:catAx>
      <c:valAx>
        <c:axId val="433202304"/>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1923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很喜欢</c:v>
                </c:pt>
                <c:pt idx="1">
                  <c:v>喜欢</c:v>
                </c:pt>
                <c:pt idx="2">
                  <c:v>不好说</c:v>
                </c:pt>
              </c:strCache>
            </c:strRef>
          </c:cat>
          <c:val>
            <c:numRef>
              <c:f>Sheet1!$B$2:$B$4</c:f>
              <c:numCache>
                <c:formatCode>0.0%</c:formatCode>
                <c:ptCount val="3"/>
                <c:pt idx="0">
                  <c:v>0.774000000000001</c:v>
                </c:pt>
                <c:pt idx="1">
                  <c:v>0.194</c:v>
                </c:pt>
                <c:pt idx="2">
                  <c:v>0.032</c:v>
                </c:pt>
              </c:numCache>
            </c:numRef>
          </c:val>
        </c:ser>
        <c:dLbls>
          <c:showLegendKey val="0"/>
          <c:showVal val="0"/>
          <c:showCatName val="0"/>
          <c:showSerName val="0"/>
          <c:showPercent val="0"/>
          <c:showBubbleSize val="0"/>
        </c:dLbls>
        <c:gapWidth val="80"/>
        <c:axId val="96596736"/>
        <c:axId val="96598272"/>
      </c:barChart>
      <c:catAx>
        <c:axId val="965967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598272"/>
        <c:crosses val="autoZero"/>
        <c:auto val="1"/>
        <c:lblAlgn val="ctr"/>
        <c:lblOffset val="100"/>
        <c:tickLblSkip val="1"/>
        <c:noMultiLvlLbl val="0"/>
      </c:catAx>
      <c:valAx>
        <c:axId val="9659827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5967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58803263899944"/>
          <c:y val="0.0690073150678699"/>
          <c:w val="0.912828073784712"/>
          <c:h val="0.771115068519862"/>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其他</c:v>
                </c:pt>
                <c:pt idx="1">
                  <c:v>公开发表学术论文等</c:v>
                </c:pt>
                <c:pt idx="2">
                  <c:v>参与国家或省部级科研课题</c:v>
                </c:pt>
                <c:pt idx="3">
                  <c:v>科学道德和学术规范培训 </c:v>
                </c:pt>
                <c:pt idx="4">
                  <c:v>参加国内外学术会议并发布论文 </c:v>
                </c:pt>
                <c:pt idx="5">
                  <c:v>出国访学（国外联合培养、公派出国）</c:v>
                </c:pt>
                <c:pt idx="6">
                  <c:v>参加学科竞赛</c:v>
                </c:pt>
              </c:strCache>
            </c:strRef>
          </c:cat>
          <c:val>
            <c:numRef>
              <c:f>Sheet1!$B$2:$B$8</c:f>
              <c:numCache>
                <c:formatCode>0.0_);[Red]\(0.0\)</c:formatCode>
                <c:ptCount val="7"/>
                <c:pt idx="0">
                  <c:v>2</c:v>
                </c:pt>
                <c:pt idx="1">
                  <c:v>1.64</c:v>
                </c:pt>
                <c:pt idx="2">
                  <c:v>1.44</c:v>
                </c:pt>
                <c:pt idx="3">
                  <c:v>0.830000000000001</c:v>
                </c:pt>
                <c:pt idx="4">
                  <c:v>0.640000000000002</c:v>
                </c:pt>
                <c:pt idx="5">
                  <c:v>0.57</c:v>
                </c:pt>
                <c:pt idx="6">
                  <c:v>0.43</c:v>
                </c:pt>
              </c:numCache>
            </c:numRef>
          </c:val>
        </c:ser>
        <c:dLbls>
          <c:showLegendKey val="0"/>
          <c:showVal val="0"/>
          <c:showCatName val="0"/>
          <c:showSerName val="0"/>
          <c:showPercent val="0"/>
          <c:showBubbleSize val="0"/>
        </c:dLbls>
        <c:gapWidth val="80"/>
        <c:axId val="433173632"/>
        <c:axId val="433175168"/>
      </c:barChart>
      <c:catAx>
        <c:axId val="4331736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33175168"/>
        <c:crosses val="autoZero"/>
        <c:auto val="1"/>
        <c:lblAlgn val="ctr"/>
        <c:lblOffset val="100"/>
        <c:tickLblSkip val="1"/>
        <c:noMultiLvlLbl val="0"/>
      </c:catAx>
      <c:valAx>
        <c:axId val="43317516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1736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Sheet1!$B$1</c:f>
              <c:strCache>
                <c:ptCount val="1"/>
                <c:pt idx="0">
                  <c:v/>
                </c:pt>
              </c:strCache>
            </c:strRef>
          </c:tx>
          <c:dLbls>
            <c:delete val="1"/>
          </c:dLbls>
          <c:cat>
            <c:strRef>
              <c:f>Sheet1!$A$2:$A$11</c:f>
              <c:strCache>
                <c:ptCount val="10"/>
                <c:pt idx="0">
                  <c:v>导师指导</c:v>
                </c:pt>
                <c:pt idx="1">
                  <c:v>学科发展水平</c:v>
                </c:pt>
                <c:pt idx="2">
                  <c:v>社会实践活动</c:v>
                </c:pt>
                <c:pt idx="3">
                  <c:v>学术氛围</c:v>
                </c:pt>
                <c:pt idx="4">
                  <c:v>理论课程学习</c:v>
                </c:pt>
                <c:pt idx="5">
                  <c:v>学术交流活动</c:v>
                </c:pt>
                <c:pt idx="6">
                  <c:v>研究训练</c:v>
                </c:pt>
                <c:pt idx="7">
                  <c:v>学科管理水平</c:v>
                </c:pt>
                <c:pt idx="8">
                  <c:v>科研经费</c:v>
                </c:pt>
                <c:pt idx="9">
                  <c:v>学位论文研究</c:v>
                </c:pt>
              </c:strCache>
            </c:strRef>
          </c:cat>
          <c:val>
            <c:numRef>
              <c:f>Sheet1!$B$2:$B$11</c:f>
              <c:numCache>
                <c:formatCode>0.00</c:formatCode>
                <c:ptCount val="10"/>
                <c:pt idx="0">
                  <c:v>2.33</c:v>
                </c:pt>
                <c:pt idx="1">
                  <c:v>1.81</c:v>
                </c:pt>
                <c:pt idx="2">
                  <c:v>1.26</c:v>
                </c:pt>
                <c:pt idx="3">
                  <c:v>1.24</c:v>
                </c:pt>
                <c:pt idx="4">
                  <c:v>0.830000000000001</c:v>
                </c:pt>
                <c:pt idx="5">
                  <c:v>0.57</c:v>
                </c:pt>
                <c:pt idx="6">
                  <c:v>0.43</c:v>
                </c:pt>
                <c:pt idx="7">
                  <c:v>0.4</c:v>
                </c:pt>
                <c:pt idx="8">
                  <c:v>0.07</c:v>
                </c:pt>
                <c:pt idx="9">
                  <c:v>0.05</c:v>
                </c:pt>
              </c:numCache>
            </c:numRef>
          </c:val>
        </c:ser>
        <c:dLbls>
          <c:showLegendKey val="0"/>
          <c:showVal val="0"/>
          <c:showCatName val="0"/>
          <c:showSerName val="0"/>
          <c:showPercent val="0"/>
          <c:showBubbleSize val="0"/>
        </c:dLbls>
        <c:axId val="433529984"/>
        <c:axId val="433531520"/>
      </c:radarChart>
      <c:catAx>
        <c:axId val="433529984"/>
        <c:scaling>
          <c:orientation val="minMax"/>
        </c:scaling>
        <c:delete val="0"/>
        <c:axPos val="b"/>
        <c:majorGridlines/>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531520"/>
        <c:crosses val="autoZero"/>
        <c:auto val="1"/>
        <c:lblAlgn val="ctr"/>
        <c:lblOffset val="100"/>
        <c:noMultiLvlLbl val="0"/>
      </c:catAx>
      <c:valAx>
        <c:axId val="433531520"/>
        <c:scaling>
          <c:orientation val="minMax"/>
        </c:scaling>
        <c:delete val="0"/>
        <c:axPos val="l"/>
        <c:majorGridlines/>
        <c:numFmt formatCode="0.00_);\(0.00\)" sourceLinked="0"/>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52998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902116212746134"/>
        </c:manualLayout>
      </c:layout>
      <c:barChart>
        <c:barDir val="bar"/>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c:formatCode>
                <c:ptCount val="12"/>
                <c:pt idx="0">
                  <c:v>0.643000000000002</c:v>
                </c:pt>
                <c:pt idx="1">
                  <c:v>0.881</c:v>
                </c:pt>
                <c:pt idx="2">
                  <c:v>0.357</c:v>
                </c:pt>
                <c:pt idx="3">
                  <c:v>0.929</c:v>
                </c:pt>
                <c:pt idx="4">
                  <c:v>0.762000000000002</c:v>
                </c:pt>
                <c:pt idx="5">
                  <c:v>0.357</c:v>
                </c:pt>
                <c:pt idx="6">
                  <c:v>0.262</c:v>
                </c:pt>
                <c:pt idx="7">
                  <c:v>0.214</c:v>
                </c:pt>
                <c:pt idx="8">
                  <c:v>0.595</c:v>
                </c:pt>
                <c:pt idx="9">
                  <c:v>0.595</c:v>
                </c:pt>
                <c:pt idx="10">
                  <c:v>0.667000000000002</c:v>
                </c:pt>
                <c:pt idx="11">
                  <c:v>0.690000000000001</c:v>
                </c:pt>
              </c:numCache>
            </c:numRef>
          </c:val>
        </c:ser>
        <c:dLbls>
          <c:showLegendKey val="0"/>
          <c:showVal val="0"/>
          <c:showCatName val="0"/>
          <c:showSerName val="0"/>
          <c:showPercent val="0"/>
          <c:showBubbleSize val="0"/>
        </c:dLbls>
        <c:gapWidth val="80"/>
        <c:axId val="433544576"/>
        <c:axId val="433554560"/>
      </c:barChart>
      <c:catAx>
        <c:axId val="433544576"/>
        <c:scaling>
          <c:orientation val="maxMin"/>
        </c:scaling>
        <c:delete val="0"/>
        <c:axPos val="l"/>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33554560"/>
        <c:crosses val="autoZero"/>
        <c:auto val="1"/>
        <c:lblAlgn val="ctr"/>
        <c:lblOffset val="100"/>
        <c:tickLblSkip val="1"/>
        <c:noMultiLvlLbl val="0"/>
      </c:catAx>
      <c:valAx>
        <c:axId val="433554560"/>
        <c:scaling>
          <c:orientation val="minMax"/>
        </c:scaling>
        <c:delete val="0"/>
        <c:axPos val="t"/>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54457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0.0_);[Red]\(0.0\)</c:formatCode>
                <c:ptCount val="12"/>
                <c:pt idx="0">
                  <c:v>4.56</c:v>
                </c:pt>
                <c:pt idx="1">
                  <c:v>4.65</c:v>
                </c:pt>
                <c:pt idx="2">
                  <c:v>4.5</c:v>
                </c:pt>
                <c:pt idx="3">
                  <c:v>4.49</c:v>
                </c:pt>
                <c:pt idx="4">
                  <c:v>4.69</c:v>
                </c:pt>
                <c:pt idx="5">
                  <c:v>4.56</c:v>
                </c:pt>
                <c:pt idx="6">
                  <c:v>4.5</c:v>
                </c:pt>
                <c:pt idx="7">
                  <c:v>4.5</c:v>
                </c:pt>
                <c:pt idx="8">
                  <c:v>4.72</c:v>
                </c:pt>
                <c:pt idx="9">
                  <c:v>4.72</c:v>
                </c:pt>
                <c:pt idx="10">
                  <c:v>4.71</c:v>
                </c:pt>
                <c:pt idx="11">
                  <c:v>4.72</c:v>
                </c:pt>
              </c:numCache>
            </c:numRef>
          </c:val>
        </c:ser>
        <c:dLbls>
          <c:showLegendKey val="0"/>
          <c:showVal val="0"/>
          <c:showCatName val="0"/>
          <c:showSerName val="0"/>
          <c:showPercent val="0"/>
          <c:showBubbleSize val="0"/>
        </c:dLbls>
        <c:gapWidth val="80"/>
        <c:axId val="433230592"/>
        <c:axId val="433232128"/>
      </c:barChart>
      <c:catAx>
        <c:axId val="433230592"/>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33232128"/>
        <c:crosses val="autoZero"/>
        <c:auto val="1"/>
        <c:lblAlgn val="ctr"/>
        <c:lblOffset val="100"/>
        <c:tickLblSkip val="1"/>
        <c:noMultiLvlLbl val="0"/>
      </c:catAx>
      <c:valAx>
        <c:axId val="433232128"/>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2305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c:formatCode>
                <c:ptCount val="7"/>
                <c:pt idx="0">
                  <c:v>0.452</c:v>
                </c:pt>
                <c:pt idx="1">
                  <c:v>0.595</c:v>
                </c:pt>
                <c:pt idx="2">
                  <c:v>0.286</c:v>
                </c:pt>
                <c:pt idx="3">
                  <c:v>0.167</c:v>
                </c:pt>
                <c:pt idx="4">
                  <c:v>0.238</c:v>
                </c:pt>
                <c:pt idx="5">
                  <c:v>0.333000000000001</c:v>
                </c:pt>
                <c:pt idx="6">
                  <c:v>0.214</c:v>
                </c:pt>
              </c:numCache>
            </c:numRef>
          </c:val>
        </c:ser>
        <c:dLbls>
          <c:showLegendKey val="0"/>
          <c:showVal val="0"/>
          <c:showCatName val="0"/>
          <c:showSerName val="0"/>
          <c:showPercent val="0"/>
          <c:showBubbleSize val="0"/>
        </c:dLbls>
        <c:gapWidth val="80"/>
        <c:axId val="433703168"/>
        <c:axId val="433704960"/>
      </c:barChart>
      <c:catAx>
        <c:axId val="4337031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04960"/>
        <c:crosses val="autoZero"/>
        <c:auto val="1"/>
        <c:lblAlgn val="ctr"/>
        <c:lblOffset val="100"/>
        <c:tickLblSkip val="1"/>
        <c:noMultiLvlLbl val="0"/>
      </c:catAx>
      <c:valAx>
        <c:axId val="43370496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031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0.0_);[Red]\(0.0\)</c:formatCode>
                <c:ptCount val="7"/>
                <c:pt idx="0">
                  <c:v>4.75</c:v>
                </c:pt>
                <c:pt idx="1">
                  <c:v>4.56</c:v>
                </c:pt>
                <c:pt idx="2">
                  <c:v>4.85</c:v>
                </c:pt>
                <c:pt idx="3">
                  <c:v>4.75</c:v>
                </c:pt>
                <c:pt idx="4">
                  <c:v>4.82</c:v>
                </c:pt>
                <c:pt idx="5">
                  <c:v>4.79</c:v>
                </c:pt>
                <c:pt idx="6">
                  <c:v>4.78</c:v>
                </c:pt>
              </c:numCache>
            </c:numRef>
          </c:val>
        </c:ser>
        <c:dLbls>
          <c:showLegendKey val="0"/>
          <c:showVal val="0"/>
          <c:showCatName val="0"/>
          <c:showSerName val="0"/>
          <c:showPercent val="0"/>
          <c:showBubbleSize val="0"/>
        </c:dLbls>
        <c:gapWidth val="80"/>
        <c:axId val="433725440"/>
        <c:axId val="433726976"/>
      </c:barChart>
      <c:catAx>
        <c:axId val="4337254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26976"/>
        <c:crosses val="autoZero"/>
        <c:auto val="1"/>
        <c:lblAlgn val="ctr"/>
        <c:lblOffset val="100"/>
        <c:tickLblSkip val="1"/>
        <c:noMultiLvlLbl val="0"/>
      </c:catAx>
      <c:valAx>
        <c:axId val="43372697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254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上学期间未创业，毕业后也不打算创业</c:v>
                </c:pt>
                <c:pt idx="1">
                  <c:v>上学期间未创业，毕业后打算工作几年再创业</c:v>
                </c:pt>
                <c:pt idx="2">
                  <c:v>上学期间创业了，毕业后打算继续创业</c:v>
                </c:pt>
                <c:pt idx="3">
                  <c:v>上学期间创业了，毕业后打算暂停创业</c:v>
                </c:pt>
              </c:strCache>
            </c:strRef>
          </c:cat>
          <c:val>
            <c:numRef>
              <c:f>Sheet1!$B$2:$B$5</c:f>
              <c:numCache>
                <c:formatCode>0.0%</c:formatCode>
                <c:ptCount val="4"/>
                <c:pt idx="0">
                  <c:v>0.310000000000001</c:v>
                </c:pt>
                <c:pt idx="1">
                  <c:v>0.429</c:v>
                </c:pt>
                <c:pt idx="2">
                  <c:v>0.214</c:v>
                </c:pt>
                <c:pt idx="3">
                  <c:v>0.048</c:v>
                </c:pt>
              </c:numCache>
            </c:numRef>
          </c:val>
        </c:ser>
        <c:dLbls>
          <c:showLegendKey val="0"/>
          <c:showVal val="0"/>
          <c:showCatName val="0"/>
          <c:showSerName val="0"/>
          <c:showPercent val="0"/>
          <c:showBubbleSize val="0"/>
        </c:dLbls>
        <c:gapWidth val="80"/>
        <c:axId val="433657344"/>
        <c:axId val="433658880"/>
      </c:barChart>
      <c:catAx>
        <c:axId val="4336573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658880"/>
        <c:crosses val="autoZero"/>
        <c:auto val="1"/>
        <c:lblAlgn val="ctr"/>
        <c:lblOffset val="100"/>
        <c:tickLblSkip val="1"/>
        <c:noMultiLvlLbl val="0"/>
      </c:catAx>
      <c:valAx>
        <c:axId val="4336588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6573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了解了什么是大学生创业</c:v>
                </c:pt>
                <c:pt idx="1">
                  <c:v>启发了我的创业意识</c:v>
                </c:pt>
                <c:pt idx="2">
                  <c:v>激发了我的创业热情</c:v>
                </c:pt>
                <c:pt idx="3">
                  <c:v>明确了我的创业计划</c:v>
                </c:pt>
                <c:pt idx="4">
                  <c:v>了解了相关创业政策</c:v>
                </c:pt>
                <c:pt idx="5">
                  <c:v>没有任何收获</c:v>
                </c:pt>
              </c:strCache>
            </c:strRef>
          </c:cat>
          <c:val>
            <c:numRef>
              <c:f>Sheet1!$B$2:$B$7</c:f>
              <c:numCache>
                <c:formatCode>0.0%</c:formatCode>
                <c:ptCount val="6"/>
                <c:pt idx="0">
                  <c:v>0.19</c:v>
                </c:pt>
                <c:pt idx="1">
                  <c:v>0.19</c:v>
                </c:pt>
                <c:pt idx="2">
                  <c:v>0.048</c:v>
                </c:pt>
                <c:pt idx="3">
                  <c:v>0.048</c:v>
                </c:pt>
                <c:pt idx="4">
                  <c:v>0.381000000000001</c:v>
                </c:pt>
                <c:pt idx="5">
                  <c:v>0.143</c:v>
                </c:pt>
              </c:numCache>
            </c:numRef>
          </c:val>
        </c:ser>
        <c:dLbls>
          <c:showLegendKey val="0"/>
          <c:showVal val="0"/>
          <c:showCatName val="0"/>
          <c:showSerName val="0"/>
          <c:showPercent val="0"/>
          <c:showBubbleSize val="0"/>
        </c:dLbls>
        <c:gapWidth val="80"/>
        <c:axId val="433921024"/>
        <c:axId val="433926912"/>
      </c:barChart>
      <c:catAx>
        <c:axId val="43392102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926912"/>
        <c:crosses val="autoZero"/>
        <c:auto val="1"/>
        <c:lblAlgn val="ctr"/>
        <c:lblOffset val="100"/>
        <c:tickLblSkip val="1"/>
        <c:noMultiLvlLbl val="0"/>
      </c:catAx>
      <c:valAx>
        <c:axId val="43392691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92102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很满意</c:v>
                </c:pt>
                <c:pt idx="1">
                  <c:v>满意</c:v>
                </c:pt>
                <c:pt idx="2">
                  <c:v>不好说</c:v>
                </c:pt>
              </c:strCache>
            </c:strRef>
          </c:cat>
          <c:val>
            <c:numRef>
              <c:f>Sheet1!$B$2:$B$4</c:f>
              <c:numCache>
                <c:formatCode>0.0%</c:formatCode>
                <c:ptCount val="3"/>
                <c:pt idx="0">
                  <c:v>0.357</c:v>
                </c:pt>
                <c:pt idx="1">
                  <c:v>0.536</c:v>
                </c:pt>
                <c:pt idx="2">
                  <c:v>0.107</c:v>
                </c:pt>
              </c:numCache>
            </c:numRef>
          </c:val>
        </c:ser>
        <c:dLbls>
          <c:showLegendKey val="0"/>
          <c:showVal val="0"/>
          <c:showCatName val="0"/>
          <c:showSerName val="0"/>
          <c:showPercent val="0"/>
          <c:showBubbleSize val="0"/>
        </c:dLbls>
        <c:gapWidth val="80"/>
        <c:axId val="433787648"/>
        <c:axId val="433789184"/>
      </c:barChart>
      <c:catAx>
        <c:axId val="4337876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89184"/>
        <c:crosses val="autoZero"/>
        <c:auto val="1"/>
        <c:lblAlgn val="ctr"/>
        <c:lblOffset val="100"/>
        <c:tickLblSkip val="1"/>
        <c:noMultiLvlLbl val="0"/>
      </c:catAx>
      <c:valAx>
        <c:axId val="43378918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37876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4.27</c:v>
                </c:pt>
                <c:pt idx="1">
                  <c:v>4.2</c:v>
                </c:pt>
                <c:pt idx="2">
                  <c:v>4.5</c:v>
                </c:pt>
              </c:numCache>
            </c:numRef>
          </c:val>
        </c:ser>
        <c:dLbls>
          <c:showLegendKey val="0"/>
          <c:showVal val="0"/>
          <c:showCatName val="0"/>
          <c:showSerName val="0"/>
          <c:showPercent val="0"/>
          <c:showBubbleSize val="0"/>
        </c:dLbls>
        <c:gapWidth val="80"/>
        <c:axId val="434186496"/>
        <c:axId val="434192384"/>
      </c:barChart>
      <c:catAx>
        <c:axId val="43418649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192384"/>
        <c:crosses val="autoZero"/>
        <c:auto val="1"/>
        <c:lblAlgn val="ctr"/>
        <c:lblOffset val="100"/>
        <c:tickLblSkip val="1"/>
        <c:noMultiLvlLbl val="0"/>
      </c:catAx>
      <c:valAx>
        <c:axId val="434192384"/>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18649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很愿意</c:v>
                </c:pt>
                <c:pt idx="1">
                  <c:v>愿意</c:v>
                </c:pt>
                <c:pt idx="2">
                  <c:v>不好说</c:v>
                </c:pt>
              </c:strCache>
            </c:strRef>
          </c:cat>
          <c:val>
            <c:numRef>
              <c:f>Sheet1!$B$2:$B$4</c:f>
              <c:numCache>
                <c:formatCode>0.0%</c:formatCode>
                <c:ptCount val="3"/>
                <c:pt idx="0">
                  <c:v>0.774000000000001</c:v>
                </c:pt>
                <c:pt idx="1">
                  <c:v>0.194</c:v>
                </c:pt>
                <c:pt idx="2">
                  <c:v>0.032</c:v>
                </c:pt>
              </c:numCache>
            </c:numRef>
          </c:val>
        </c:ser>
        <c:dLbls>
          <c:showLegendKey val="0"/>
          <c:showVal val="0"/>
          <c:showCatName val="0"/>
          <c:showSerName val="0"/>
          <c:showPercent val="0"/>
          <c:showBubbleSize val="0"/>
        </c:dLbls>
        <c:gapWidth val="80"/>
        <c:axId val="188946688"/>
        <c:axId val="188964864"/>
      </c:barChart>
      <c:catAx>
        <c:axId val="1889466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964864"/>
        <c:crosses val="autoZero"/>
        <c:auto val="1"/>
        <c:lblAlgn val="ctr"/>
        <c:lblOffset val="100"/>
        <c:tickLblSkip val="1"/>
        <c:noMultiLvlLbl val="0"/>
      </c:catAx>
      <c:valAx>
        <c:axId val="1889648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9466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事业单位</c:v>
                </c:pt>
                <c:pt idx="1">
                  <c:v>民营/私营企业</c:v>
                </c:pt>
                <c:pt idx="2">
                  <c:v>其他</c:v>
                </c:pt>
              </c:strCache>
            </c:strRef>
          </c:cat>
          <c:val>
            <c:numRef>
              <c:f>Sheet1!$B$2:$B$4</c:f>
              <c:numCache>
                <c:formatCode>0.0%</c:formatCode>
                <c:ptCount val="3"/>
                <c:pt idx="0">
                  <c:v>0.679000000000002</c:v>
                </c:pt>
                <c:pt idx="1">
                  <c:v>0.143</c:v>
                </c:pt>
                <c:pt idx="2">
                  <c:v>0.179</c:v>
                </c:pt>
              </c:numCache>
            </c:numRef>
          </c:val>
        </c:ser>
        <c:ser>
          <c:idx val="1"/>
          <c:order val="1"/>
          <c:tx>
            <c:strRef>
              <c:f>Sheet1!$C$1</c:f>
              <c:strCache>
                <c:ptCount val="1"/>
                <c:pt idx="0">
                  <c:v>最终落实</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事业单位</c:v>
                </c:pt>
                <c:pt idx="1">
                  <c:v>民营/私营企业</c:v>
                </c:pt>
                <c:pt idx="2">
                  <c:v>其他</c:v>
                </c:pt>
              </c:strCache>
            </c:strRef>
          </c:cat>
          <c:val>
            <c:numRef>
              <c:f>Sheet1!$C$2:$C$4</c:f>
              <c:numCache>
                <c:formatCode>0.0%</c:formatCode>
                <c:ptCount val="3"/>
                <c:pt idx="0">
                  <c:v>0.536</c:v>
                </c:pt>
                <c:pt idx="1">
                  <c:v>0.286</c:v>
                </c:pt>
                <c:pt idx="2">
                  <c:v>0.179</c:v>
                </c:pt>
              </c:numCache>
            </c:numRef>
          </c:val>
        </c:ser>
        <c:dLbls>
          <c:showLegendKey val="0"/>
          <c:showVal val="0"/>
          <c:showCatName val="0"/>
          <c:showSerName val="0"/>
          <c:showPercent val="0"/>
          <c:showBubbleSize val="0"/>
        </c:dLbls>
        <c:gapWidth val="80"/>
        <c:axId val="434182016"/>
        <c:axId val="434183552"/>
      </c:barChart>
      <c:catAx>
        <c:axId val="434182016"/>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183552"/>
        <c:crosses val="autoZero"/>
        <c:auto val="1"/>
        <c:lblAlgn val="ctr"/>
        <c:lblOffset val="100"/>
        <c:tickLblSkip val="1"/>
        <c:noMultiLvlLbl val="0"/>
      </c:catAx>
      <c:valAx>
        <c:axId val="434183552"/>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182016"/>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教育及科研行业</c:v>
                </c:pt>
                <c:pt idx="1">
                  <c:v>文化、体育和娱乐业</c:v>
                </c:pt>
                <c:pt idx="2">
                  <c:v>其他行业</c:v>
                </c:pt>
              </c:strCache>
            </c:strRef>
          </c:cat>
          <c:val>
            <c:numRef>
              <c:f>Sheet1!$B$2:$B$4</c:f>
              <c:numCache>
                <c:formatCode>0.0%</c:formatCode>
                <c:ptCount val="3"/>
                <c:pt idx="0">
                  <c:v>0.429</c:v>
                </c:pt>
                <c:pt idx="1">
                  <c:v>0.571</c:v>
                </c:pt>
                <c:pt idx="2">
                  <c:v>0</c:v>
                </c:pt>
              </c:numCache>
            </c:numRef>
          </c:val>
        </c:ser>
        <c:ser>
          <c:idx val="1"/>
          <c:order val="1"/>
          <c:tx>
            <c:strRef>
              <c:f>Sheet1!$C$1</c:f>
              <c:strCache>
                <c:ptCount val="1"/>
                <c:pt idx="0">
                  <c:v>最终落实</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教育及科研行业</c:v>
                </c:pt>
                <c:pt idx="1">
                  <c:v>文化、体育和娱乐业</c:v>
                </c:pt>
                <c:pt idx="2">
                  <c:v>其他行业</c:v>
                </c:pt>
              </c:strCache>
            </c:strRef>
          </c:cat>
          <c:val>
            <c:numRef>
              <c:f>Sheet1!$C$2:$C$4</c:f>
              <c:numCache>
                <c:formatCode>0.0%</c:formatCode>
                <c:ptCount val="3"/>
                <c:pt idx="0">
                  <c:v>0.429</c:v>
                </c:pt>
                <c:pt idx="1">
                  <c:v>0.536</c:v>
                </c:pt>
                <c:pt idx="2">
                  <c:v>0.036</c:v>
                </c:pt>
              </c:numCache>
            </c:numRef>
          </c:val>
        </c:ser>
        <c:dLbls>
          <c:showLegendKey val="0"/>
          <c:showVal val="0"/>
          <c:showCatName val="0"/>
          <c:showSerName val="0"/>
          <c:showPercent val="0"/>
          <c:showBubbleSize val="0"/>
        </c:dLbls>
        <c:gapWidth val="80"/>
        <c:axId val="434321280"/>
        <c:axId val="434322816"/>
      </c:barChart>
      <c:catAx>
        <c:axId val="434321280"/>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322816"/>
        <c:crosses val="autoZero"/>
        <c:auto val="1"/>
        <c:lblAlgn val="ctr"/>
        <c:lblOffset val="100"/>
        <c:tickLblSkip val="1"/>
        <c:noMultiLvlLbl val="0"/>
      </c:catAx>
      <c:valAx>
        <c:axId val="434322816"/>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321280"/>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期望年薪</c:v>
                </c:pt>
                <c:pt idx="1">
                  <c:v>最终落实</c:v>
                </c:pt>
              </c:strCache>
            </c:strRef>
          </c:cat>
          <c:val>
            <c:numRef>
              <c:f>Sheet1!$B$2:$B$3</c:f>
              <c:numCache>
                <c:formatCode>0.0_);[Red]\(0.0\)</c:formatCode>
                <c:ptCount val="2"/>
                <c:pt idx="0">
                  <c:v>11.82</c:v>
                </c:pt>
                <c:pt idx="1">
                  <c:v>9.85000000000001</c:v>
                </c:pt>
              </c:numCache>
            </c:numRef>
          </c:val>
        </c:ser>
        <c:dLbls>
          <c:showLegendKey val="0"/>
          <c:showVal val="0"/>
          <c:showCatName val="0"/>
          <c:showSerName val="0"/>
          <c:showPercent val="0"/>
          <c:showBubbleSize val="0"/>
        </c:dLbls>
        <c:gapWidth val="80"/>
        <c:axId val="434446336"/>
        <c:axId val="434447872"/>
      </c:barChart>
      <c:catAx>
        <c:axId val="4344463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447872"/>
        <c:crosses val="autoZero"/>
        <c:auto val="1"/>
        <c:lblAlgn val="ctr"/>
        <c:lblOffset val="100"/>
        <c:tickLblSkip val="1"/>
        <c:noMultiLvlLbl val="0"/>
      </c:catAx>
      <c:valAx>
        <c:axId val="43444787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4463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5564956554351"/>
          <c:y val="0.0458213771565802"/>
          <c:w val="0.741562576417078"/>
          <c:h val="0.789727057951846"/>
        </c:manualLayout>
      </c:layout>
      <c:barChart>
        <c:barDir val="col"/>
        <c:grouping val="clustered"/>
        <c:varyColors val="0"/>
        <c:ser>
          <c:idx val="0"/>
          <c:order val="0"/>
          <c:tx>
            <c:strRef>
              <c:f>Sheet1!$A$2</c:f>
              <c:strCache>
                <c:ptCount val="1"/>
                <c:pt idx="0">
                  <c:v>期望年薪</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Sheet1!$B$2:$D$2</c:f>
              <c:numCache>
                <c:formatCode>0.00_);[Red]\(0.00\)</c:formatCode>
                <c:ptCount val="3"/>
                <c:pt idx="0">
                  <c:v>14.09</c:v>
                </c:pt>
                <c:pt idx="1">
                  <c:v>10.4</c:v>
                </c:pt>
                <c:pt idx="2">
                  <c:v>10</c:v>
                </c:pt>
              </c:numCache>
            </c:numRef>
          </c:val>
        </c:ser>
        <c:ser>
          <c:idx val="1"/>
          <c:order val="1"/>
          <c:tx>
            <c:strRef>
              <c:f>Sheet1!$A$3</c:f>
              <c:strCache>
                <c:ptCount val="1"/>
                <c:pt idx="0">
                  <c:v>最终落实</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Sheet1!$B$3:$D$3</c:f>
              <c:numCache>
                <c:formatCode>0.00_);[Red]\(0.00\)</c:formatCode>
                <c:ptCount val="3"/>
                <c:pt idx="0">
                  <c:v>9.1</c:v>
                </c:pt>
                <c:pt idx="1">
                  <c:v>10.55</c:v>
                </c:pt>
                <c:pt idx="2">
                  <c:v>9</c:v>
                </c:pt>
              </c:numCache>
            </c:numRef>
          </c:val>
        </c:ser>
        <c:dLbls>
          <c:showLegendKey val="0"/>
          <c:showVal val="0"/>
          <c:showCatName val="0"/>
          <c:showSerName val="0"/>
          <c:showPercent val="0"/>
          <c:showBubbleSize val="0"/>
        </c:dLbls>
        <c:gapWidth val="150"/>
        <c:axId val="434465792"/>
        <c:axId val="434479872"/>
      </c:barChart>
      <c:catAx>
        <c:axId val="434465792"/>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479872"/>
        <c:crosses val="autoZero"/>
        <c:auto val="1"/>
        <c:lblAlgn val="ctr"/>
        <c:lblOffset val="100"/>
        <c:tickLblSkip val="1"/>
        <c:noMultiLvlLbl val="0"/>
      </c:catAx>
      <c:valAx>
        <c:axId val="434479872"/>
        <c:scaling>
          <c:orientation val="minMax"/>
        </c:scaling>
        <c:delete val="0"/>
        <c:axPos val="l"/>
        <c:majorGridlines/>
        <c:numFmt formatCode="#,##0.00_);\(#,##0.0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465792"/>
        <c:crosses val="autoZero"/>
        <c:crossBetween val="between"/>
      </c:valAx>
      <c:spPr>
        <a:solidFill>
          <a:schemeClr val="bg1"/>
        </a:solidFill>
        <a:ln>
          <a:noFill/>
        </a:ln>
        <a:effectLst/>
      </c:spPr>
    </c:plotArea>
    <c:legend>
      <c:legendPos val="r"/>
      <c:layout>
        <c:manualLayout>
          <c:xMode val="edge"/>
          <c:yMode val="edge"/>
          <c:x val="0.848893399194666"/>
          <c:y val="0.0522184056336747"/>
          <c:w val="0.138684240556887"/>
          <c:h val="0.87492761300009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有五险</c:v>
                </c:pt>
                <c:pt idx="1">
                  <c:v>五险不全</c:v>
                </c:pt>
                <c:pt idx="2">
                  <c:v>没有五险</c:v>
                </c:pt>
              </c:strCache>
            </c:strRef>
          </c:cat>
          <c:val>
            <c:numRef>
              <c:f>Sheet1!$B$2:$B$4</c:f>
              <c:numCache>
                <c:formatCode>0.0%</c:formatCode>
                <c:ptCount val="3"/>
                <c:pt idx="0">
                  <c:v>0.857000000000001</c:v>
                </c:pt>
                <c:pt idx="1">
                  <c:v>0.071</c:v>
                </c:pt>
                <c:pt idx="2">
                  <c:v>0.071</c:v>
                </c:pt>
              </c:numCache>
            </c:numRef>
          </c:val>
        </c:ser>
        <c:dLbls>
          <c:showLegendKey val="0"/>
          <c:showVal val="0"/>
          <c:showCatName val="0"/>
          <c:showSerName val="0"/>
          <c:showPercent val="0"/>
          <c:showBubbleSize val="0"/>
        </c:dLbls>
        <c:gapWidth val="80"/>
        <c:axId val="434377856"/>
        <c:axId val="434379392"/>
      </c:barChart>
      <c:catAx>
        <c:axId val="43437785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379392"/>
        <c:crosses val="autoZero"/>
        <c:auto val="1"/>
        <c:lblAlgn val="ctr"/>
        <c:lblOffset val="100"/>
        <c:tickLblSkip val="1"/>
        <c:noMultiLvlLbl val="0"/>
      </c:catAx>
      <c:valAx>
        <c:axId val="43437939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37785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Sheet1!$A$2</c:f>
              <c:strCache>
                <c:ptCount val="1"/>
                <c:pt idx="0">
                  <c:v>戏剧</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有五险</c:v>
                </c:pt>
                <c:pt idx="1">
                  <c:v>五险不全</c:v>
                </c:pt>
                <c:pt idx="2">
                  <c:v>没有五险</c:v>
                </c:pt>
              </c:strCache>
            </c:strRef>
          </c:cat>
          <c:val>
            <c:numRef>
              <c:f>Sheet1!$B$2:$D$2</c:f>
              <c:numCache>
                <c:formatCode>0.0%</c:formatCode>
                <c:ptCount val="3"/>
                <c:pt idx="0">
                  <c:v>0.727000000000001</c:v>
                </c:pt>
                <c:pt idx="1">
                  <c:v>0.091</c:v>
                </c:pt>
                <c:pt idx="2">
                  <c:v>0.182</c:v>
                </c:pt>
              </c:numCache>
            </c:numRef>
          </c:val>
        </c:ser>
        <c:ser>
          <c:idx val="1"/>
          <c:order val="1"/>
          <c:tx>
            <c:strRef>
              <c:f>Sheet1!$A$3</c:f>
              <c:strCache>
                <c:ptCount val="1"/>
                <c:pt idx="0">
                  <c:v>戏剧与影视学</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有五险</c:v>
                </c:pt>
                <c:pt idx="1">
                  <c:v>五险不全</c:v>
                </c:pt>
                <c:pt idx="2">
                  <c:v>没有五险</c:v>
                </c:pt>
              </c:strCache>
            </c:strRef>
          </c:cat>
          <c:val>
            <c:numRef>
              <c:f>Sheet1!$B$3:$D$3</c:f>
              <c:numCache>
                <c:formatCode>0.0%</c:formatCode>
                <c:ptCount val="3"/>
                <c:pt idx="0">
                  <c:v>0.933</c:v>
                </c:pt>
                <c:pt idx="1">
                  <c:v>0.067</c:v>
                </c:pt>
                <c:pt idx="2">
                  <c:v>0</c:v>
                </c:pt>
              </c:numCache>
            </c:numRef>
          </c:val>
        </c:ser>
        <c:ser>
          <c:idx val="2"/>
          <c:order val="2"/>
          <c:tx>
            <c:strRef>
              <c:f>Sheet1!$A$4</c:f>
              <c:strCache>
                <c:ptCount val="1"/>
                <c:pt idx="0">
                  <c:v>艺术学理论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有五险</c:v>
                </c:pt>
                <c:pt idx="1">
                  <c:v>五险不全</c:v>
                </c:pt>
                <c:pt idx="2">
                  <c:v>没有五险</c:v>
                </c:pt>
              </c:strCache>
            </c:strRef>
          </c:cat>
          <c:val>
            <c:numRef>
              <c:f>Sheet1!$B$4:$D$4</c:f>
              <c:numCache>
                <c:formatCode>0.0%</c:formatCode>
                <c:ptCount val="3"/>
                <c:pt idx="0">
                  <c:v>1</c:v>
                </c:pt>
                <c:pt idx="1">
                  <c:v>0</c:v>
                </c:pt>
                <c:pt idx="2">
                  <c:v>0</c:v>
                </c:pt>
              </c:numCache>
            </c:numRef>
          </c:val>
        </c:ser>
        <c:dLbls>
          <c:showLegendKey val="0"/>
          <c:showVal val="0"/>
          <c:showCatName val="0"/>
          <c:showSerName val="0"/>
          <c:showPercent val="0"/>
          <c:showBubbleSize val="0"/>
        </c:dLbls>
        <c:gapWidth val="80"/>
        <c:axId val="434616576"/>
        <c:axId val="434626560"/>
      </c:barChart>
      <c:catAx>
        <c:axId val="434616576"/>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626560"/>
        <c:crosses val="autoZero"/>
        <c:auto val="1"/>
        <c:lblAlgn val="ctr"/>
        <c:lblOffset val="100"/>
        <c:tickLblSkip val="1"/>
        <c:noMultiLvlLbl val="0"/>
      </c:catAx>
      <c:valAx>
        <c:axId val="43462656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616576"/>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829654134751935"/>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有</c:v>
                </c:pt>
                <c:pt idx="1">
                  <c:v>没有</c:v>
                </c:pt>
              </c:strCache>
            </c:strRef>
          </c:cat>
          <c:val>
            <c:numRef>
              <c:f>Sheet1!$B$2:$B$3</c:f>
              <c:numCache>
                <c:formatCode>0.0%</c:formatCode>
                <c:ptCount val="2"/>
                <c:pt idx="0">
                  <c:v>0.786</c:v>
                </c:pt>
                <c:pt idx="1">
                  <c:v>0.214</c:v>
                </c:pt>
              </c:numCache>
            </c:numRef>
          </c:val>
        </c:ser>
        <c:dLbls>
          <c:showLegendKey val="0"/>
          <c:showVal val="0"/>
          <c:showCatName val="0"/>
          <c:showSerName val="0"/>
          <c:showPercent val="0"/>
          <c:showBubbleSize val="0"/>
        </c:dLbls>
        <c:gapWidth val="80"/>
        <c:axId val="434684288"/>
        <c:axId val="434685824"/>
      </c:barChart>
      <c:catAx>
        <c:axId val="4346842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685824"/>
        <c:crosses val="autoZero"/>
        <c:auto val="1"/>
        <c:lblAlgn val="ctr"/>
        <c:lblOffset val="100"/>
        <c:tickLblSkip val="1"/>
        <c:noMultiLvlLbl val="0"/>
      </c:catAx>
      <c:valAx>
        <c:axId val="4346858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6842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Sheet1!$B$1</c:f>
              <c:strCache>
                <c:ptCount val="1"/>
                <c:pt idx="0">
                  <c:v>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c:formatCode>
                <c:ptCount val="3"/>
                <c:pt idx="0">
                  <c:v>0.727000000000001</c:v>
                </c:pt>
                <c:pt idx="1">
                  <c:v>0.8</c:v>
                </c:pt>
                <c:pt idx="2">
                  <c:v>1</c:v>
                </c:pt>
              </c:numCache>
            </c:numRef>
          </c:val>
        </c:ser>
        <c:ser>
          <c:idx val="1"/>
          <c:order val="1"/>
          <c:tx>
            <c:strRef>
              <c:f>Sheet1!$C$1</c:f>
              <c:strCache>
                <c:ptCount val="1"/>
                <c:pt idx="0">
                  <c:v>没有</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Sheet1!$C$2:$C$4</c:f>
              <c:numCache>
                <c:formatCode>0.0%</c:formatCode>
                <c:ptCount val="3"/>
                <c:pt idx="0">
                  <c:v>0.273</c:v>
                </c:pt>
                <c:pt idx="1">
                  <c:v>0.2</c:v>
                </c:pt>
                <c:pt idx="2">
                  <c:v>0</c:v>
                </c:pt>
              </c:numCache>
            </c:numRef>
          </c:val>
        </c:ser>
        <c:dLbls>
          <c:showLegendKey val="0"/>
          <c:showVal val="0"/>
          <c:showCatName val="0"/>
          <c:showSerName val="0"/>
          <c:showPercent val="0"/>
          <c:showBubbleSize val="0"/>
        </c:dLbls>
        <c:gapWidth val="80"/>
        <c:axId val="434786304"/>
        <c:axId val="434787840"/>
      </c:barChart>
      <c:catAx>
        <c:axId val="434786304"/>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787840"/>
        <c:crosses val="autoZero"/>
        <c:auto val="1"/>
        <c:lblAlgn val="ctr"/>
        <c:lblOffset val="100"/>
        <c:tickLblSkip val="1"/>
        <c:noMultiLvlLbl val="0"/>
      </c:catAx>
      <c:valAx>
        <c:axId val="43478784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786304"/>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很大</c:v>
                </c:pt>
                <c:pt idx="1">
                  <c:v>大</c:v>
                </c:pt>
                <c:pt idx="2">
                  <c:v>不好说</c:v>
                </c:pt>
              </c:strCache>
            </c:strRef>
          </c:cat>
          <c:val>
            <c:numRef>
              <c:f>Sheet1!$B$2:$B$4</c:f>
              <c:numCache>
                <c:formatCode>0.0%</c:formatCode>
                <c:ptCount val="3"/>
                <c:pt idx="0">
                  <c:v>0.357</c:v>
                </c:pt>
                <c:pt idx="1">
                  <c:v>0.286</c:v>
                </c:pt>
                <c:pt idx="2">
                  <c:v>0.357</c:v>
                </c:pt>
              </c:numCache>
            </c:numRef>
          </c:val>
        </c:ser>
        <c:dLbls>
          <c:showLegendKey val="0"/>
          <c:showVal val="0"/>
          <c:showCatName val="0"/>
          <c:showSerName val="0"/>
          <c:showPercent val="0"/>
          <c:showBubbleSize val="0"/>
        </c:dLbls>
        <c:gapWidth val="80"/>
        <c:axId val="434579328"/>
        <c:axId val="434580864"/>
      </c:barChart>
      <c:catAx>
        <c:axId val="4345793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580864"/>
        <c:crosses val="autoZero"/>
        <c:auto val="1"/>
        <c:lblAlgn val="ctr"/>
        <c:lblOffset val="100"/>
        <c:tickLblSkip val="1"/>
        <c:noMultiLvlLbl val="0"/>
      </c:catAx>
      <c:valAx>
        <c:axId val="4345808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5793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4.09</c:v>
                </c:pt>
                <c:pt idx="1">
                  <c:v>3.87</c:v>
                </c:pt>
                <c:pt idx="2">
                  <c:v>4.5</c:v>
                </c:pt>
              </c:numCache>
            </c:numRef>
          </c:val>
        </c:ser>
        <c:dLbls>
          <c:showLegendKey val="0"/>
          <c:showVal val="0"/>
          <c:showCatName val="0"/>
          <c:showSerName val="0"/>
          <c:showPercent val="0"/>
          <c:showBubbleSize val="0"/>
        </c:dLbls>
        <c:gapWidth val="80"/>
        <c:axId val="434679168"/>
        <c:axId val="434906240"/>
      </c:barChart>
      <c:catAx>
        <c:axId val="4346791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906240"/>
        <c:crosses val="autoZero"/>
        <c:auto val="1"/>
        <c:lblAlgn val="ctr"/>
        <c:lblOffset val="100"/>
        <c:tickLblSkip val="1"/>
        <c:noMultiLvlLbl val="0"/>
      </c:catAx>
      <c:valAx>
        <c:axId val="43490624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6791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很满意</c:v>
                </c:pt>
                <c:pt idx="1">
                  <c:v>满意</c:v>
                </c:pt>
                <c:pt idx="2">
                  <c:v>不好说</c:v>
                </c:pt>
              </c:strCache>
            </c:strRef>
          </c:cat>
          <c:val>
            <c:numRef>
              <c:f>Sheet1!$B$2:$B$4</c:f>
              <c:numCache>
                <c:formatCode>0.0%</c:formatCode>
                <c:ptCount val="3"/>
                <c:pt idx="0">
                  <c:v>0.419</c:v>
                </c:pt>
                <c:pt idx="1">
                  <c:v>0.516</c:v>
                </c:pt>
                <c:pt idx="2">
                  <c:v>0.065</c:v>
                </c:pt>
              </c:numCache>
            </c:numRef>
          </c:val>
        </c:ser>
        <c:dLbls>
          <c:showLegendKey val="0"/>
          <c:showVal val="0"/>
          <c:showCatName val="0"/>
          <c:showSerName val="0"/>
          <c:showPercent val="0"/>
          <c:showBubbleSize val="0"/>
        </c:dLbls>
        <c:gapWidth val="80"/>
        <c:axId val="190345216"/>
        <c:axId val="190346752"/>
      </c:barChart>
      <c:catAx>
        <c:axId val="19034521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346752"/>
        <c:crosses val="autoZero"/>
        <c:auto val="1"/>
        <c:lblAlgn val="ctr"/>
        <c:lblOffset val="100"/>
        <c:tickLblSkip val="1"/>
        <c:noMultiLvlLbl val="0"/>
      </c:catAx>
      <c:valAx>
        <c:axId val="19034675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34521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很清晰</c:v>
                </c:pt>
                <c:pt idx="1">
                  <c:v>清晰</c:v>
                </c:pt>
                <c:pt idx="2">
                  <c:v>不好说</c:v>
                </c:pt>
                <c:pt idx="3">
                  <c:v>不清晰</c:v>
                </c:pt>
              </c:strCache>
            </c:strRef>
          </c:cat>
          <c:val>
            <c:numRef>
              <c:f>Sheet1!$B$2:$B$5</c:f>
              <c:numCache>
                <c:formatCode>0.0%</c:formatCode>
                <c:ptCount val="4"/>
                <c:pt idx="0">
                  <c:v>0.393000000000001</c:v>
                </c:pt>
                <c:pt idx="1">
                  <c:v>0.429</c:v>
                </c:pt>
                <c:pt idx="2">
                  <c:v>0.143</c:v>
                </c:pt>
                <c:pt idx="3">
                  <c:v>0.036</c:v>
                </c:pt>
              </c:numCache>
            </c:numRef>
          </c:val>
        </c:ser>
        <c:dLbls>
          <c:showLegendKey val="0"/>
          <c:showVal val="0"/>
          <c:showCatName val="0"/>
          <c:showSerName val="0"/>
          <c:showPercent val="0"/>
          <c:showBubbleSize val="0"/>
        </c:dLbls>
        <c:gapWidth val="80"/>
        <c:axId val="435029120"/>
        <c:axId val="435030656"/>
      </c:barChart>
      <c:catAx>
        <c:axId val="4350291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030656"/>
        <c:crosses val="autoZero"/>
        <c:auto val="1"/>
        <c:lblAlgn val="ctr"/>
        <c:lblOffset val="100"/>
        <c:tickLblSkip val="1"/>
        <c:noMultiLvlLbl val="0"/>
      </c:catAx>
      <c:valAx>
        <c:axId val="4350306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0291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4.36</c:v>
                </c:pt>
                <c:pt idx="1">
                  <c:v>4</c:v>
                </c:pt>
                <c:pt idx="2">
                  <c:v>4.5</c:v>
                </c:pt>
              </c:numCache>
            </c:numRef>
          </c:val>
        </c:ser>
        <c:dLbls>
          <c:showLegendKey val="0"/>
          <c:showVal val="0"/>
          <c:showCatName val="0"/>
          <c:showSerName val="0"/>
          <c:showPercent val="0"/>
          <c:showBubbleSize val="0"/>
        </c:dLbls>
        <c:gapWidth val="80"/>
        <c:axId val="435042944"/>
        <c:axId val="435073408"/>
      </c:barChart>
      <c:catAx>
        <c:axId val="4350429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073408"/>
        <c:crosses val="autoZero"/>
        <c:auto val="1"/>
        <c:lblAlgn val="ctr"/>
        <c:lblOffset val="100"/>
        <c:tickLblSkip val="1"/>
        <c:noMultiLvlLbl val="0"/>
      </c:catAx>
      <c:valAx>
        <c:axId val="43507340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0429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1年以内</c:v>
                </c:pt>
                <c:pt idx="1">
                  <c:v>1～3年</c:v>
                </c:pt>
                <c:pt idx="2">
                  <c:v>3～5年</c:v>
                </c:pt>
                <c:pt idx="3">
                  <c:v>5年及以上</c:v>
                </c:pt>
              </c:strCache>
            </c:strRef>
          </c:cat>
          <c:val>
            <c:numRef>
              <c:f>Sheet1!$B$2:$B$5</c:f>
              <c:numCache>
                <c:formatCode>0.0%</c:formatCode>
                <c:ptCount val="4"/>
                <c:pt idx="0">
                  <c:v>0.286</c:v>
                </c:pt>
                <c:pt idx="1">
                  <c:v>0.393000000000001</c:v>
                </c:pt>
                <c:pt idx="2">
                  <c:v>0.107</c:v>
                </c:pt>
                <c:pt idx="3">
                  <c:v>0.214</c:v>
                </c:pt>
              </c:numCache>
            </c:numRef>
          </c:val>
        </c:ser>
        <c:dLbls>
          <c:showLegendKey val="0"/>
          <c:showVal val="0"/>
          <c:showCatName val="0"/>
          <c:showSerName val="0"/>
          <c:showPercent val="0"/>
          <c:showBubbleSize val="0"/>
        </c:dLbls>
        <c:gapWidth val="80"/>
        <c:axId val="434794880"/>
        <c:axId val="434796416"/>
      </c:barChart>
      <c:catAx>
        <c:axId val="43479488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796416"/>
        <c:crosses val="autoZero"/>
        <c:auto val="1"/>
        <c:lblAlgn val="ctr"/>
        <c:lblOffset val="100"/>
        <c:tickLblSkip val="1"/>
        <c:noMultiLvlLbl val="0"/>
      </c:catAx>
      <c:valAx>
        <c:axId val="43479641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79488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73396594656437"/>
          <c:y val="0.121117115262553"/>
          <c:w val="0.76172016959419"/>
          <c:h val="0.761775513354952"/>
        </c:manualLayout>
      </c:layout>
      <c:barChart>
        <c:barDir val="col"/>
        <c:grouping val="clustered"/>
        <c:varyColors val="0"/>
        <c:ser>
          <c:idx val="0"/>
          <c:order val="0"/>
          <c:tx>
            <c:strRef>
              <c:f>Sheet1!$A$2</c:f>
              <c:strCache>
                <c:ptCount val="1"/>
                <c:pt idx="0">
                  <c:v>戏剧</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Sheet1!$B$1:$E$1</c:f>
              <c:strCache>
                <c:ptCount val="4"/>
                <c:pt idx="0">
                  <c:v>1年以内</c:v>
                </c:pt>
                <c:pt idx="1">
                  <c:v>1～3年</c:v>
                </c:pt>
                <c:pt idx="2">
                  <c:v>3～5年</c:v>
                </c:pt>
                <c:pt idx="3">
                  <c:v>5年及以上</c:v>
                </c:pt>
              </c:strCache>
            </c:strRef>
          </c:cat>
          <c:val>
            <c:numRef>
              <c:f>Sheet1!$B$2:$E$2</c:f>
              <c:numCache>
                <c:formatCode>0.0%</c:formatCode>
                <c:ptCount val="4"/>
                <c:pt idx="0">
                  <c:v>0.364</c:v>
                </c:pt>
                <c:pt idx="1">
                  <c:v>0.273</c:v>
                </c:pt>
                <c:pt idx="2">
                  <c:v>0.091</c:v>
                </c:pt>
                <c:pt idx="3">
                  <c:v>0.273</c:v>
                </c:pt>
              </c:numCache>
            </c:numRef>
          </c:val>
        </c:ser>
        <c:ser>
          <c:idx val="1"/>
          <c:order val="1"/>
          <c:tx>
            <c:strRef>
              <c:f>Sheet1!$A$3</c:f>
              <c:strCache>
                <c:ptCount val="1"/>
                <c:pt idx="0">
                  <c:v>戏剧与影视学</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Sheet1!$B$1:$E$1</c:f>
              <c:strCache>
                <c:ptCount val="4"/>
                <c:pt idx="0">
                  <c:v>1年以内</c:v>
                </c:pt>
                <c:pt idx="1">
                  <c:v>1～3年</c:v>
                </c:pt>
                <c:pt idx="2">
                  <c:v>3～5年</c:v>
                </c:pt>
                <c:pt idx="3">
                  <c:v>5年及以上</c:v>
                </c:pt>
              </c:strCache>
            </c:strRef>
          </c:cat>
          <c:val>
            <c:numRef>
              <c:f>Sheet1!$B$3:$E$3</c:f>
              <c:numCache>
                <c:formatCode>0.0%</c:formatCode>
                <c:ptCount val="4"/>
                <c:pt idx="0">
                  <c:v>0.133</c:v>
                </c:pt>
                <c:pt idx="1">
                  <c:v>0.533</c:v>
                </c:pt>
                <c:pt idx="2">
                  <c:v>0.133</c:v>
                </c:pt>
                <c:pt idx="3">
                  <c:v>0.2</c:v>
                </c:pt>
              </c:numCache>
            </c:numRef>
          </c:val>
        </c:ser>
        <c:ser>
          <c:idx val="2"/>
          <c:order val="2"/>
          <c:tx>
            <c:strRef>
              <c:f>Sheet1!$A$4</c:f>
              <c:strCache>
                <c:ptCount val="1"/>
                <c:pt idx="0">
                  <c:v>艺术学理论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Sheet1!$B$1:$E$1</c:f>
              <c:strCache>
                <c:ptCount val="4"/>
                <c:pt idx="0">
                  <c:v>1年以内</c:v>
                </c:pt>
                <c:pt idx="1">
                  <c:v>1～3年</c:v>
                </c:pt>
                <c:pt idx="2">
                  <c:v>3～5年</c:v>
                </c:pt>
                <c:pt idx="3">
                  <c:v>5年及以上</c:v>
                </c:pt>
              </c:strCache>
            </c:strRef>
          </c:cat>
          <c:val>
            <c:numRef>
              <c:f>Sheet1!$B$4:$E$4</c:f>
              <c:numCache>
                <c:formatCode>0.0%</c:formatCode>
                <c:ptCount val="4"/>
                <c:pt idx="0">
                  <c:v>1</c:v>
                </c:pt>
                <c:pt idx="1">
                  <c:v>0</c:v>
                </c:pt>
                <c:pt idx="2">
                  <c:v>0</c:v>
                </c:pt>
                <c:pt idx="3">
                  <c:v>0</c:v>
                </c:pt>
              </c:numCache>
            </c:numRef>
          </c:val>
        </c:ser>
        <c:dLbls>
          <c:showLegendKey val="0"/>
          <c:showVal val="0"/>
          <c:showCatName val="0"/>
          <c:showSerName val="0"/>
          <c:showPercent val="0"/>
          <c:showBubbleSize val="0"/>
        </c:dLbls>
        <c:gapWidth val="80"/>
        <c:axId val="435295744"/>
        <c:axId val="435297280"/>
      </c:barChart>
      <c:catAx>
        <c:axId val="435295744"/>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297280"/>
        <c:crosses val="autoZero"/>
        <c:auto val="1"/>
        <c:lblAlgn val="ctr"/>
        <c:lblOffset val="100"/>
        <c:tickLblSkip val="1"/>
        <c:noMultiLvlLbl val="0"/>
      </c:catAx>
      <c:valAx>
        <c:axId val="43529728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295744"/>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很相关</c:v>
                </c:pt>
                <c:pt idx="1">
                  <c:v>相关</c:v>
                </c:pt>
                <c:pt idx="2">
                  <c:v>不好说</c:v>
                </c:pt>
              </c:strCache>
            </c:strRef>
          </c:cat>
          <c:val>
            <c:numRef>
              <c:f>Sheet1!$B$2:$B$4</c:f>
              <c:numCache>
                <c:formatCode>0.0%</c:formatCode>
                <c:ptCount val="3"/>
                <c:pt idx="0">
                  <c:v>0.571</c:v>
                </c:pt>
                <c:pt idx="1">
                  <c:v>0.357</c:v>
                </c:pt>
                <c:pt idx="2">
                  <c:v>0.071</c:v>
                </c:pt>
              </c:numCache>
            </c:numRef>
          </c:val>
        </c:ser>
        <c:dLbls>
          <c:showLegendKey val="0"/>
          <c:showVal val="0"/>
          <c:showCatName val="0"/>
          <c:showSerName val="0"/>
          <c:showPercent val="0"/>
          <c:showBubbleSize val="0"/>
        </c:dLbls>
        <c:gapWidth val="80"/>
        <c:axId val="434990464"/>
        <c:axId val="435176576"/>
      </c:barChart>
      <c:catAx>
        <c:axId val="4349904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176576"/>
        <c:crosses val="autoZero"/>
        <c:auto val="1"/>
        <c:lblAlgn val="ctr"/>
        <c:lblOffset val="100"/>
        <c:tickLblSkip val="1"/>
        <c:noMultiLvlLbl val="0"/>
      </c:catAx>
      <c:valAx>
        <c:axId val="4351765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49904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4.64</c:v>
                </c:pt>
                <c:pt idx="1">
                  <c:v>4.4</c:v>
                </c:pt>
                <c:pt idx="2">
                  <c:v>4.5</c:v>
                </c:pt>
              </c:numCache>
            </c:numRef>
          </c:val>
        </c:ser>
        <c:dLbls>
          <c:showLegendKey val="0"/>
          <c:showVal val="0"/>
          <c:showCatName val="0"/>
          <c:showSerName val="0"/>
          <c:showPercent val="0"/>
          <c:showBubbleSize val="0"/>
        </c:dLbls>
        <c:gapWidth val="80"/>
        <c:axId val="435434624"/>
        <c:axId val="435436160"/>
      </c:barChart>
      <c:catAx>
        <c:axId val="43543462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436160"/>
        <c:crosses val="autoZero"/>
        <c:auto val="1"/>
        <c:lblAlgn val="ctr"/>
        <c:lblOffset val="100"/>
        <c:tickLblSkip val="1"/>
        <c:noMultiLvlLbl val="0"/>
      </c:catAx>
      <c:valAx>
        <c:axId val="43543616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43462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高于岗位要求</c:v>
                </c:pt>
                <c:pt idx="1">
                  <c:v>恰好满足岗位要求</c:v>
                </c:pt>
              </c:strCache>
            </c:strRef>
          </c:cat>
          <c:val>
            <c:numRef>
              <c:f>Sheet1!$B$2:$B$3</c:f>
              <c:numCache>
                <c:formatCode>0.0%</c:formatCode>
                <c:ptCount val="2"/>
                <c:pt idx="0">
                  <c:v>0.357</c:v>
                </c:pt>
                <c:pt idx="1">
                  <c:v>0.643000000000002</c:v>
                </c:pt>
              </c:numCache>
            </c:numRef>
          </c:val>
        </c:ser>
        <c:dLbls>
          <c:showLegendKey val="0"/>
          <c:showVal val="0"/>
          <c:showCatName val="0"/>
          <c:showSerName val="0"/>
          <c:showPercent val="0"/>
          <c:showBubbleSize val="0"/>
        </c:dLbls>
        <c:gapWidth val="80"/>
        <c:axId val="435157632"/>
        <c:axId val="435364224"/>
      </c:barChart>
      <c:catAx>
        <c:axId val="4351576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364224"/>
        <c:crosses val="autoZero"/>
        <c:auto val="1"/>
        <c:lblAlgn val="ctr"/>
        <c:lblOffset val="100"/>
        <c:tickLblSkip val="1"/>
        <c:noMultiLvlLbl val="0"/>
      </c:catAx>
      <c:valAx>
        <c:axId val="4353642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1576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Sheet1!$B$1</c:f>
              <c:strCache>
                <c:ptCount val="1"/>
                <c:pt idx="0">
                  <c:v>高于岗位要求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c:formatCode>
                <c:ptCount val="3"/>
                <c:pt idx="0">
                  <c:v>0.455</c:v>
                </c:pt>
                <c:pt idx="1">
                  <c:v>0.333000000000001</c:v>
                </c:pt>
                <c:pt idx="2">
                  <c:v>0</c:v>
                </c:pt>
              </c:numCache>
            </c:numRef>
          </c:val>
        </c:ser>
        <c:ser>
          <c:idx val="1"/>
          <c:order val="1"/>
          <c:tx>
            <c:strRef>
              <c:f>Sheet1!$C$1</c:f>
              <c:strCache>
                <c:ptCount val="1"/>
                <c:pt idx="0">
                  <c:v>恰好满足岗位要求</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Sheet1!$C$2:$C$4</c:f>
              <c:numCache>
                <c:formatCode>0.0%</c:formatCode>
                <c:ptCount val="3"/>
                <c:pt idx="0">
                  <c:v>0.545</c:v>
                </c:pt>
                <c:pt idx="1">
                  <c:v>0.667000000000002</c:v>
                </c:pt>
                <c:pt idx="2">
                  <c:v>1</c:v>
                </c:pt>
              </c:numCache>
            </c:numRef>
          </c:val>
        </c:ser>
        <c:dLbls>
          <c:showLegendKey val="0"/>
          <c:showVal val="0"/>
          <c:showCatName val="0"/>
          <c:showSerName val="0"/>
          <c:showPercent val="0"/>
          <c:showBubbleSize val="0"/>
        </c:dLbls>
        <c:gapWidth val="80"/>
        <c:axId val="435521792"/>
        <c:axId val="435531776"/>
      </c:barChart>
      <c:catAx>
        <c:axId val="435521792"/>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531776"/>
        <c:crosses val="autoZero"/>
        <c:auto val="1"/>
        <c:lblAlgn val="ctr"/>
        <c:lblOffset val="100"/>
        <c:tickLblSkip val="1"/>
        <c:noMultiLvlLbl val="0"/>
      </c:catAx>
      <c:valAx>
        <c:axId val="435531776"/>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521792"/>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很相符</c:v>
                </c:pt>
                <c:pt idx="1">
                  <c:v>相符</c:v>
                </c:pt>
                <c:pt idx="2">
                  <c:v>不好说</c:v>
                </c:pt>
              </c:strCache>
            </c:strRef>
          </c:cat>
          <c:val>
            <c:numRef>
              <c:f>Sheet1!$B$2:$B$4</c:f>
              <c:numCache>
                <c:formatCode>0.0%</c:formatCode>
                <c:ptCount val="3"/>
                <c:pt idx="0">
                  <c:v>0.357</c:v>
                </c:pt>
                <c:pt idx="1">
                  <c:v>0.429</c:v>
                </c:pt>
                <c:pt idx="2">
                  <c:v>0.214</c:v>
                </c:pt>
              </c:numCache>
            </c:numRef>
          </c:val>
        </c:ser>
        <c:dLbls>
          <c:showLegendKey val="0"/>
          <c:showVal val="0"/>
          <c:showCatName val="0"/>
          <c:showSerName val="0"/>
          <c:showPercent val="0"/>
          <c:showBubbleSize val="0"/>
        </c:dLbls>
        <c:gapWidth val="80"/>
        <c:axId val="435736960"/>
        <c:axId val="435738496"/>
      </c:barChart>
      <c:catAx>
        <c:axId val="4357369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38496"/>
        <c:crosses val="autoZero"/>
        <c:auto val="1"/>
        <c:lblAlgn val="ctr"/>
        <c:lblOffset val="100"/>
        <c:tickLblSkip val="1"/>
        <c:noMultiLvlLbl val="0"/>
      </c:catAx>
      <c:valAx>
        <c:axId val="4357384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369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58803263899944"/>
          <c:y val="0.114405581679508"/>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4.18</c:v>
                </c:pt>
                <c:pt idx="1">
                  <c:v>4.07</c:v>
                </c:pt>
                <c:pt idx="2">
                  <c:v>4.5</c:v>
                </c:pt>
              </c:numCache>
            </c:numRef>
          </c:val>
        </c:ser>
        <c:dLbls>
          <c:showLegendKey val="0"/>
          <c:showVal val="0"/>
          <c:showCatName val="0"/>
          <c:showSerName val="0"/>
          <c:showPercent val="0"/>
          <c:showBubbleSize val="0"/>
        </c:dLbls>
        <c:gapWidth val="80"/>
        <c:axId val="435824512"/>
        <c:axId val="435826048"/>
      </c:barChart>
      <c:catAx>
        <c:axId val="43582451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826048"/>
        <c:crosses val="autoZero"/>
        <c:auto val="1"/>
        <c:lblAlgn val="ctr"/>
        <c:lblOffset val="100"/>
        <c:tickLblSkip val="1"/>
        <c:noMultiLvlLbl val="0"/>
      </c:catAx>
      <c:valAx>
        <c:axId val="43582604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82451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很满意</c:v>
                </c:pt>
                <c:pt idx="1">
                  <c:v>满意</c:v>
                </c:pt>
              </c:strCache>
            </c:strRef>
          </c:cat>
          <c:val>
            <c:numRef>
              <c:f>Sheet1!$B$2:$B$3</c:f>
              <c:numCache>
                <c:formatCode>0.0%</c:formatCode>
                <c:ptCount val="2"/>
                <c:pt idx="0">
                  <c:v>0.710000000000001</c:v>
                </c:pt>
                <c:pt idx="1">
                  <c:v>0.29</c:v>
                </c:pt>
              </c:numCache>
            </c:numRef>
          </c:val>
        </c:ser>
        <c:dLbls>
          <c:showLegendKey val="0"/>
          <c:showVal val="0"/>
          <c:showCatName val="0"/>
          <c:showSerName val="0"/>
          <c:showPercent val="0"/>
          <c:showBubbleSize val="0"/>
        </c:dLbls>
        <c:gapWidth val="80"/>
        <c:axId val="182666752"/>
        <c:axId val="182668288"/>
      </c:barChart>
      <c:catAx>
        <c:axId val="18266675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68288"/>
        <c:crosses val="autoZero"/>
        <c:auto val="1"/>
        <c:lblAlgn val="ctr"/>
        <c:lblOffset val="100"/>
        <c:tickLblSkip val="1"/>
        <c:noMultiLvlLbl val="0"/>
      </c:catAx>
      <c:valAx>
        <c:axId val="18266828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6675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很积极</c:v>
                </c:pt>
                <c:pt idx="1">
                  <c:v>积极</c:v>
                </c:pt>
                <c:pt idx="2">
                  <c:v>不好说</c:v>
                </c:pt>
                <c:pt idx="3">
                  <c:v>不积极</c:v>
                </c:pt>
              </c:strCache>
            </c:strRef>
          </c:cat>
          <c:val>
            <c:numRef>
              <c:f>Sheet1!$B$2:$B$5</c:f>
              <c:numCache>
                <c:formatCode>0.0%</c:formatCode>
                <c:ptCount val="4"/>
                <c:pt idx="0">
                  <c:v>0.571</c:v>
                </c:pt>
                <c:pt idx="1">
                  <c:v>0.286</c:v>
                </c:pt>
                <c:pt idx="2">
                  <c:v>0.107</c:v>
                </c:pt>
                <c:pt idx="3">
                  <c:v>0.036</c:v>
                </c:pt>
              </c:numCache>
            </c:numRef>
          </c:val>
        </c:ser>
        <c:dLbls>
          <c:showLegendKey val="0"/>
          <c:showVal val="0"/>
          <c:showCatName val="0"/>
          <c:showSerName val="0"/>
          <c:showPercent val="0"/>
          <c:showBubbleSize val="0"/>
        </c:dLbls>
        <c:gapWidth val="80"/>
        <c:axId val="435473792"/>
        <c:axId val="435700864"/>
      </c:barChart>
      <c:catAx>
        <c:axId val="43547379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00864"/>
        <c:crosses val="autoZero"/>
        <c:auto val="1"/>
        <c:lblAlgn val="ctr"/>
        <c:lblOffset val="100"/>
        <c:tickLblSkip val="1"/>
        <c:noMultiLvlLbl val="0"/>
      </c:catAx>
      <c:valAx>
        <c:axId val="4357008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47379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4.27</c:v>
                </c:pt>
                <c:pt idx="1">
                  <c:v>4.4</c:v>
                </c:pt>
                <c:pt idx="2">
                  <c:v>5</c:v>
                </c:pt>
              </c:numCache>
            </c:numRef>
          </c:val>
        </c:ser>
        <c:dLbls>
          <c:showLegendKey val="0"/>
          <c:showVal val="0"/>
          <c:showCatName val="0"/>
          <c:showSerName val="0"/>
          <c:showPercent val="0"/>
          <c:showBubbleSize val="0"/>
        </c:dLbls>
        <c:gapWidth val="80"/>
        <c:axId val="298730624"/>
        <c:axId val="298732160"/>
      </c:barChart>
      <c:catAx>
        <c:axId val="29873062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732160"/>
        <c:crosses val="autoZero"/>
        <c:auto val="1"/>
        <c:lblAlgn val="ctr"/>
        <c:lblOffset val="100"/>
        <c:tickLblSkip val="1"/>
        <c:noMultiLvlLbl val="0"/>
      </c:catAx>
      <c:valAx>
        <c:axId val="29873216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73062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投递简历</c:v>
                </c:pt>
                <c:pt idx="1">
                  <c:v>收到面试邀请</c:v>
                </c:pt>
                <c:pt idx="2">
                  <c:v>收到录取通知</c:v>
                </c:pt>
              </c:strCache>
            </c:strRef>
          </c:cat>
          <c:val>
            <c:numRef>
              <c:f>Sheet1!$B$2:$B$4</c:f>
              <c:numCache>
                <c:formatCode>0.0_);[Red]\(0.0\)</c:formatCode>
                <c:ptCount val="3"/>
                <c:pt idx="0">
                  <c:v>7.32</c:v>
                </c:pt>
                <c:pt idx="1">
                  <c:v>4.37</c:v>
                </c:pt>
                <c:pt idx="2">
                  <c:v>2.5</c:v>
                </c:pt>
              </c:numCache>
            </c:numRef>
          </c:val>
        </c:ser>
        <c:dLbls>
          <c:showLegendKey val="0"/>
          <c:showVal val="0"/>
          <c:showCatName val="0"/>
          <c:showSerName val="0"/>
          <c:showPercent val="0"/>
          <c:showBubbleSize val="0"/>
        </c:dLbls>
        <c:gapWidth val="80"/>
        <c:axId val="298752640"/>
        <c:axId val="298869120"/>
      </c:barChart>
      <c:catAx>
        <c:axId val="2987526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869120"/>
        <c:crosses val="autoZero"/>
        <c:auto val="1"/>
        <c:lblAlgn val="ctr"/>
        <c:lblOffset val="100"/>
        <c:tickLblSkip val="1"/>
        <c:noMultiLvlLbl val="0"/>
      </c:catAx>
      <c:valAx>
        <c:axId val="29886912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7526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5564956554351"/>
          <c:y val="0.0458213771565802"/>
          <c:w val="0.741562576417078"/>
          <c:h val="0.789727057951846"/>
        </c:manualLayout>
      </c:layout>
      <c:barChart>
        <c:barDir val="col"/>
        <c:grouping val="clustered"/>
        <c:varyColors val="0"/>
        <c:ser>
          <c:idx val="0"/>
          <c:order val="0"/>
          <c:tx>
            <c:strRef>
              <c:f>Sheet1!$A$2</c:f>
              <c:strCache>
                <c:ptCount val="1"/>
                <c:pt idx="0">
                  <c:v>投递简历</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Sheet1!$B$2:$D$2</c:f>
              <c:numCache>
                <c:formatCode>0.00_);[Red]\(0.00\)</c:formatCode>
                <c:ptCount val="3"/>
                <c:pt idx="0">
                  <c:v>6.91</c:v>
                </c:pt>
                <c:pt idx="1">
                  <c:v>7.13</c:v>
                </c:pt>
                <c:pt idx="2">
                  <c:v>11</c:v>
                </c:pt>
              </c:numCache>
            </c:numRef>
          </c:val>
        </c:ser>
        <c:ser>
          <c:idx val="1"/>
          <c:order val="1"/>
          <c:tx>
            <c:strRef>
              <c:f>Sheet1!$A$3</c:f>
              <c:strCache>
                <c:ptCount val="1"/>
                <c:pt idx="0">
                  <c:v>收到面试邀请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Sheet1!$B$3:$D$3</c:f>
              <c:numCache>
                <c:formatCode>0.00_);[Red]\(0.00\)</c:formatCode>
                <c:ptCount val="3"/>
                <c:pt idx="0">
                  <c:v>5.2</c:v>
                </c:pt>
                <c:pt idx="1">
                  <c:v>3.93</c:v>
                </c:pt>
                <c:pt idx="2">
                  <c:v>3.5</c:v>
                </c:pt>
              </c:numCache>
            </c:numRef>
          </c:val>
        </c:ser>
        <c:ser>
          <c:idx val="2"/>
          <c:order val="2"/>
          <c:tx>
            <c:strRef>
              <c:f>Sheet1!$A$4</c:f>
              <c:strCache>
                <c:ptCount val="1"/>
                <c:pt idx="0">
                  <c:v>收到录取通知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Sheet1!$B$4:$D$4</c:f>
              <c:numCache>
                <c:formatCode>0.00_);[Red]\(0.00\)</c:formatCode>
                <c:ptCount val="3"/>
                <c:pt idx="0">
                  <c:v>3.1</c:v>
                </c:pt>
                <c:pt idx="1">
                  <c:v>2.21</c:v>
                </c:pt>
                <c:pt idx="2">
                  <c:v>1.5</c:v>
                </c:pt>
              </c:numCache>
            </c:numRef>
          </c:val>
        </c:ser>
        <c:dLbls>
          <c:showLegendKey val="0"/>
          <c:showVal val="0"/>
          <c:showCatName val="0"/>
          <c:showSerName val="0"/>
          <c:showPercent val="0"/>
          <c:showBubbleSize val="0"/>
        </c:dLbls>
        <c:gapWidth val="150"/>
        <c:axId val="436985216"/>
        <c:axId val="301532288"/>
      </c:barChart>
      <c:catAx>
        <c:axId val="436985216"/>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1532288"/>
        <c:crosses val="autoZero"/>
        <c:auto val="1"/>
        <c:lblAlgn val="ctr"/>
        <c:lblOffset val="100"/>
        <c:tickLblSkip val="1"/>
        <c:noMultiLvlLbl val="0"/>
      </c:catAx>
      <c:valAx>
        <c:axId val="301532288"/>
        <c:scaling>
          <c:orientation val="minMax"/>
        </c:scaling>
        <c:delete val="0"/>
        <c:axPos val="l"/>
        <c:majorGridlines/>
        <c:numFmt formatCode="#,##0.00_);\(#,##0.0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6985216"/>
        <c:crosses val="autoZero"/>
        <c:crossBetween val="between"/>
      </c:valAx>
      <c:spPr>
        <a:solidFill>
          <a:schemeClr val="bg1"/>
        </a:solidFill>
        <a:ln>
          <a:noFill/>
        </a:ln>
        <a:effectLst/>
      </c:spPr>
    </c:plotArea>
    <c:legend>
      <c:legendPos val="r"/>
      <c:layout>
        <c:manualLayout>
          <c:xMode val="edge"/>
          <c:yMode val="edge"/>
          <c:x val="0.848893399194666"/>
          <c:y val="0.0522184056336747"/>
          <c:w val="0.138684240556887"/>
          <c:h val="0.87492761300009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3.5</c:v>
                </c:pt>
                <c:pt idx="1">
                  <c:v>3.21</c:v>
                </c:pt>
                <c:pt idx="2">
                  <c:v>4.5</c:v>
                </c:pt>
              </c:numCache>
            </c:numRef>
          </c:val>
        </c:ser>
        <c:dLbls>
          <c:showLegendKey val="0"/>
          <c:showVal val="0"/>
          <c:showCatName val="0"/>
          <c:showSerName val="0"/>
          <c:showPercent val="0"/>
          <c:showBubbleSize val="0"/>
        </c:dLbls>
        <c:gapWidth val="80"/>
        <c:axId val="301585920"/>
        <c:axId val="301587456"/>
      </c:barChart>
      <c:catAx>
        <c:axId val="3015859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1587456"/>
        <c:crosses val="autoZero"/>
        <c:auto val="1"/>
        <c:lblAlgn val="ctr"/>
        <c:lblOffset val="100"/>
        <c:tickLblSkip val="1"/>
        <c:noMultiLvlLbl val="0"/>
      </c:catAx>
      <c:valAx>
        <c:axId val="30158745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15859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2.83</c:v>
                </c:pt>
                <c:pt idx="1">
                  <c:v>3.54</c:v>
                </c:pt>
                <c:pt idx="2">
                  <c:v>2</c:v>
                </c:pt>
              </c:numCache>
            </c:numRef>
          </c:val>
        </c:ser>
        <c:dLbls>
          <c:showLegendKey val="0"/>
          <c:showVal val="0"/>
          <c:showCatName val="0"/>
          <c:showSerName val="0"/>
          <c:showPercent val="0"/>
          <c:showBubbleSize val="0"/>
        </c:dLbls>
        <c:gapWidth val="80"/>
        <c:axId val="298904576"/>
        <c:axId val="301564672"/>
      </c:barChart>
      <c:catAx>
        <c:axId val="2989045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01564672"/>
        <c:crosses val="autoZero"/>
        <c:auto val="1"/>
        <c:lblAlgn val="ctr"/>
        <c:lblOffset val="100"/>
        <c:tickLblSkip val="1"/>
        <c:noMultiLvlLbl val="0"/>
      </c:catAx>
      <c:valAx>
        <c:axId val="30156467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9045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1831</c:v>
                </c:pt>
                <c:pt idx="1">
                  <c:v>2107.33</c:v>
                </c:pt>
                <c:pt idx="2">
                  <c:v>1000</c:v>
                </c:pt>
              </c:numCache>
            </c:numRef>
          </c:val>
        </c:ser>
        <c:dLbls>
          <c:showLegendKey val="0"/>
          <c:showVal val="0"/>
          <c:showCatName val="0"/>
          <c:showSerName val="0"/>
          <c:showPercent val="0"/>
          <c:showBubbleSize val="0"/>
        </c:dLbls>
        <c:gapWidth val="80"/>
        <c:axId val="386700032"/>
        <c:axId val="386701568"/>
      </c:barChart>
      <c:catAx>
        <c:axId val="3867000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701568"/>
        <c:crosses val="autoZero"/>
        <c:auto val="1"/>
        <c:lblAlgn val="ctr"/>
        <c:lblOffset val="100"/>
        <c:tickLblSkip val="1"/>
        <c:noMultiLvlLbl val="0"/>
      </c:catAx>
      <c:valAx>
        <c:axId val="38670156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7000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4899243145576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Sheet1!$A$2:$A$10</c:f>
              <c:strCache>
                <c:ptCount val="9"/>
                <c:pt idx="0">
                  <c:v>学校组织的招聘会</c:v>
                </c:pt>
                <c:pt idx="1">
                  <c:v>学校发布的招聘信息</c:v>
                </c:pt>
                <c:pt idx="2">
                  <c:v>院系发布的招聘信息</c:v>
                </c:pt>
                <c:pt idx="3">
                  <c:v>老师推荐</c:v>
                </c:pt>
                <c:pt idx="4">
                  <c:v>校友资源</c:v>
                </c:pt>
                <c:pt idx="5">
                  <c:v>政府渠道</c:v>
                </c:pt>
                <c:pt idx="6">
                  <c:v>社会渠道</c:v>
                </c:pt>
                <c:pt idx="7">
                  <c:v>用人单位自设渠道</c:v>
                </c:pt>
                <c:pt idx="8">
                  <c:v>亲友渠道</c:v>
                </c:pt>
              </c:strCache>
            </c:strRef>
          </c:cat>
          <c:val>
            <c:numRef>
              <c:f>Sheet1!$B$2:$B$10</c:f>
              <c:numCache>
                <c:formatCode>0.0%</c:formatCode>
                <c:ptCount val="9"/>
                <c:pt idx="0">
                  <c:v>0.393000000000001</c:v>
                </c:pt>
                <c:pt idx="1">
                  <c:v>0.714000000000001</c:v>
                </c:pt>
                <c:pt idx="2">
                  <c:v>0.321000000000001</c:v>
                </c:pt>
                <c:pt idx="3">
                  <c:v>0.429</c:v>
                </c:pt>
                <c:pt idx="4">
                  <c:v>0.357</c:v>
                </c:pt>
                <c:pt idx="5">
                  <c:v>0.071</c:v>
                </c:pt>
                <c:pt idx="6">
                  <c:v>0.143</c:v>
                </c:pt>
                <c:pt idx="7">
                  <c:v>0.179</c:v>
                </c:pt>
                <c:pt idx="8">
                  <c:v>0.107</c:v>
                </c:pt>
              </c:numCache>
            </c:numRef>
          </c:val>
        </c:ser>
        <c:dLbls>
          <c:showLegendKey val="0"/>
          <c:showVal val="0"/>
          <c:showCatName val="0"/>
          <c:showSerName val="0"/>
          <c:showPercent val="0"/>
          <c:showBubbleSize val="0"/>
        </c:dLbls>
        <c:gapWidth val="80"/>
        <c:axId val="386722048"/>
        <c:axId val="387538944"/>
      </c:barChart>
      <c:catAx>
        <c:axId val="3867220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538944"/>
        <c:crosses val="autoZero"/>
        <c:auto val="1"/>
        <c:lblAlgn val="ctr"/>
        <c:lblOffset val="100"/>
        <c:tickLblSkip val="1"/>
        <c:noMultiLvlLbl val="0"/>
      </c:catAx>
      <c:valAx>
        <c:axId val="38753894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7220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5564956554346"/>
          <c:y val="0.0458213771565802"/>
          <c:w val="0.741562576417078"/>
          <c:h val="0.789727057951846"/>
        </c:manualLayout>
      </c:layout>
      <c:barChart>
        <c:barDir val="col"/>
        <c:grouping val="clustered"/>
        <c:varyColors val="0"/>
        <c:ser>
          <c:idx val="0"/>
          <c:order val="0"/>
          <c:tx>
            <c:strRef>
              <c:f>Sheet1!$B$1</c:f>
              <c:strCache>
                <c:ptCount val="1"/>
                <c:pt idx="0">
                  <c:v>2016年实际招聘</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总体</c:v>
                </c:pt>
                <c:pt idx="1">
                  <c:v>男生</c:v>
                </c:pt>
                <c:pt idx="2">
                  <c:v>女生</c:v>
                </c:pt>
                <c:pt idx="3">
                  <c:v>北京生源</c:v>
                </c:pt>
                <c:pt idx="4">
                  <c:v>京外生源</c:v>
                </c:pt>
              </c:strCache>
            </c:strRef>
          </c:cat>
          <c:val>
            <c:numRef>
              <c:f>Sheet1!$B$2:$B$6</c:f>
              <c:numCache>
                <c:formatCode>0.00_);[Red]\(0.00\)</c:formatCode>
                <c:ptCount val="5"/>
                <c:pt idx="0">
                  <c:v>1</c:v>
                </c:pt>
                <c:pt idx="1">
                  <c:v>0</c:v>
                </c:pt>
                <c:pt idx="2">
                  <c:v>1</c:v>
                </c:pt>
                <c:pt idx="3">
                  <c:v>0.2</c:v>
                </c:pt>
                <c:pt idx="4">
                  <c:v>0.600000000000001</c:v>
                </c:pt>
              </c:numCache>
            </c:numRef>
          </c:val>
        </c:ser>
        <c:ser>
          <c:idx val="1"/>
          <c:order val="1"/>
          <c:tx>
            <c:strRef>
              <c:f>Sheet1!$C$1</c:f>
              <c:strCache>
                <c:ptCount val="1"/>
                <c:pt idx="0">
                  <c:v>2017年计划招聘</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总体</c:v>
                </c:pt>
                <c:pt idx="1">
                  <c:v>男生</c:v>
                </c:pt>
                <c:pt idx="2">
                  <c:v>女生</c:v>
                </c:pt>
                <c:pt idx="3">
                  <c:v>北京生源</c:v>
                </c:pt>
                <c:pt idx="4">
                  <c:v>京外生源</c:v>
                </c:pt>
              </c:strCache>
            </c:strRef>
          </c:cat>
          <c:val>
            <c:numRef>
              <c:f>Sheet1!$C$2:$C$6</c:f>
              <c:numCache>
                <c:formatCode>0.00_);[Red]\(0.00\)</c:formatCode>
                <c:ptCount val="5"/>
                <c:pt idx="0">
                  <c:v>2</c:v>
                </c:pt>
                <c:pt idx="1">
                  <c:v>0</c:v>
                </c:pt>
                <c:pt idx="2">
                  <c:v>0</c:v>
                </c:pt>
                <c:pt idx="3">
                  <c:v>0</c:v>
                </c:pt>
                <c:pt idx="4">
                  <c:v>0</c:v>
                </c:pt>
              </c:numCache>
            </c:numRef>
          </c:val>
        </c:ser>
        <c:dLbls>
          <c:showLegendKey val="0"/>
          <c:showVal val="0"/>
          <c:showCatName val="0"/>
          <c:showSerName val="0"/>
          <c:showPercent val="0"/>
          <c:showBubbleSize val="0"/>
        </c:dLbls>
        <c:gapWidth val="150"/>
        <c:axId val="385189376"/>
        <c:axId val="385190912"/>
      </c:barChart>
      <c:catAx>
        <c:axId val="385189376"/>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190912"/>
        <c:crosses val="autoZero"/>
        <c:auto val="1"/>
        <c:lblAlgn val="ctr"/>
        <c:lblOffset val="100"/>
        <c:tickLblSkip val="1"/>
        <c:noMultiLvlLbl val="0"/>
      </c:catAx>
      <c:valAx>
        <c:axId val="385190912"/>
        <c:scaling>
          <c:orientation val="minMax"/>
        </c:scaling>
        <c:delete val="0"/>
        <c:axPos val="l"/>
        <c:majorGridlines/>
        <c:numFmt formatCode="#,##0.00_);\(#,##0.0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189376"/>
        <c:crosses val="autoZero"/>
        <c:crossBetween val="between"/>
      </c:valAx>
      <c:spPr>
        <a:solidFill>
          <a:schemeClr val="bg1"/>
        </a:solidFill>
        <a:ln>
          <a:noFill/>
        </a:ln>
        <a:effectLst/>
      </c:spPr>
    </c:plotArea>
    <c:legend>
      <c:legendPos val="r"/>
      <c:layout>
        <c:manualLayout>
          <c:xMode val="edge"/>
          <c:yMode val="edge"/>
          <c:x val="0.848893399194666"/>
          <c:y val="0.0522184056336747"/>
          <c:w val="0.138684240556887"/>
          <c:h val="0.8749276130000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Sheet1!$A$2</c:f>
              <c:strCache>
                <c:ptCount val="1"/>
                <c:pt idx="0">
                  <c:v>有五险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c:f>
              <c:numCache>
                <c:formatCode>General</c:formatCode>
                <c:ptCount val="1"/>
              </c:numCache>
            </c:numRef>
          </c:cat>
          <c:val>
            <c:numRef>
              <c:f>Sheet1!$B$2</c:f>
              <c:numCache>
                <c:formatCode>0.0%</c:formatCode>
                <c:ptCount val="1"/>
                <c:pt idx="0">
                  <c:v>1</c:v>
                </c:pt>
              </c:numCache>
            </c:numRef>
          </c:val>
        </c:ser>
        <c:dLbls>
          <c:showLegendKey val="0"/>
          <c:showVal val="0"/>
          <c:showCatName val="0"/>
          <c:showSerName val="0"/>
          <c:showPercent val="0"/>
          <c:showBubbleSize val="0"/>
        </c:dLbls>
        <c:gapWidth val="80"/>
        <c:axId val="387636608"/>
        <c:axId val="387642496"/>
      </c:barChart>
      <c:catAx>
        <c:axId val="38763660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42496"/>
        <c:crosses val="autoZero"/>
        <c:auto val="1"/>
        <c:lblAlgn val="ctr"/>
        <c:lblOffset val="100"/>
        <c:tickLblSkip val="1"/>
        <c:noMultiLvlLbl val="0"/>
      </c:catAx>
      <c:valAx>
        <c:axId val="3876424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3660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很多</c:v>
                </c:pt>
                <c:pt idx="1">
                  <c:v>多</c:v>
                </c:pt>
                <c:pt idx="2">
                  <c:v>不好说</c:v>
                </c:pt>
                <c:pt idx="3">
                  <c:v>少</c:v>
                </c:pt>
              </c:strCache>
            </c:strRef>
          </c:cat>
          <c:val>
            <c:numRef>
              <c:f>Sheet1!$B$2:$B$5</c:f>
              <c:numCache>
                <c:formatCode>0.0%</c:formatCode>
                <c:ptCount val="4"/>
                <c:pt idx="0">
                  <c:v>0.226</c:v>
                </c:pt>
                <c:pt idx="1">
                  <c:v>0.452</c:v>
                </c:pt>
                <c:pt idx="2">
                  <c:v>0.29</c:v>
                </c:pt>
                <c:pt idx="3">
                  <c:v>0.032</c:v>
                </c:pt>
              </c:numCache>
            </c:numRef>
          </c:val>
        </c:ser>
        <c:dLbls>
          <c:showLegendKey val="0"/>
          <c:showVal val="0"/>
          <c:showCatName val="0"/>
          <c:showSerName val="0"/>
          <c:showPercent val="0"/>
          <c:showBubbleSize val="0"/>
        </c:dLbls>
        <c:gapWidth val="80"/>
        <c:axId val="281197568"/>
        <c:axId val="281199360"/>
      </c:barChart>
      <c:catAx>
        <c:axId val="2811975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199360"/>
        <c:crosses val="autoZero"/>
        <c:auto val="1"/>
        <c:lblAlgn val="ctr"/>
        <c:lblOffset val="100"/>
        <c:tickLblSkip val="1"/>
        <c:noMultiLvlLbl val="0"/>
      </c:catAx>
      <c:valAx>
        <c:axId val="28119936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1975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Sheet1!$A$2</c:f>
              <c:strCache>
                <c:ptCount val="1"/>
                <c:pt idx="0">
                  <c:v>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c:f>
              <c:numCache>
                <c:formatCode>General</c:formatCode>
                <c:ptCount val="1"/>
              </c:numCache>
            </c:numRef>
          </c:cat>
          <c:val>
            <c:numRef>
              <c:f>Sheet1!$B$2</c:f>
              <c:numCache>
                <c:formatCode>0.0%</c:formatCode>
                <c:ptCount val="1"/>
                <c:pt idx="0">
                  <c:v>1</c:v>
                </c:pt>
              </c:numCache>
            </c:numRef>
          </c:val>
        </c:ser>
        <c:dLbls>
          <c:showLegendKey val="0"/>
          <c:showVal val="0"/>
          <c:showCatName val="0"/>
          <c:showSerName val="0"/>
          <c:showPercent val="0"/>
          <c:showBubbleSize val="0"/>
        </c:dLbls>
        <c:gapWidth val="80"/>
        <c:axId val="387617920"/>
        <c:axId val="387619456"/>
      </c:barChart>
      <c:catAx>
        <c:axId val="3876179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19456"/>
        <c:crosses val="autoZero"/>
        <c:auto val="1"/>
        <c:lblAlgn val="ctr"/>
        <c:lblOffset val="100"/>
        <c:tickLblSkip val="1"/>
        <c:noMultiLvlLbl val="0"/>
      </c:catAx>
      <c:valAx>
        <c:axId val="3876194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179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非常大</c:v>
                </c:pt>
                <c:pt idx="1">
                  <c:v>大</c:v>
                </c:pt>
                <c:pt idx="2">
                  <c:v>一般</c:v>
                </c:pt>
                <c:pt idx="3">
                  <c:v>几乎没有</c:v>
                </c:pt>
              </c:strCache>
            </c:strRef>
          </c:cat>
          <c:val>
            <c:numRef>
              <c:f>Sheet1!$B$2:$B$5</c:f>
              <c:numCache>
                <c:formatCode>0.0%</c:formatCode>
                <c:ptCount val="4"/>
                <c:pt idx="0">
                  <c:v>0.2</c:v>
                </c:pt>
                <c:pt idx="1">
                  <c:v>0.2</c:v>
                </c:pt>
                <c:pt idx="2">
                  <c:v>0.2</c:v>
                </c:pt>
                <c:pt idx="3">
                  <c:v>0.4</c:v>
                </c:pt>
              </c:numCache>
            </c:numRef>
          </c:val>
        </c:ser>
        <c:dLbls>
          <c:showLegendKey val="0"/>
          <c:showVal val="0"/>
          <c:showCatName val="0"/>
          <c:showSerName val="0"/>
          <c:showPercent val="0"/>
          <c:showBubbleSize val="0"/>
        </c:dLbls>
        <c:gapWidth val="80"/>
        <c:axId val="173247104"/>
        <c:axId val="173252992"/>
      </c:barChart>
      <c:catAx>
        <c:axId val="17324710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252992"/>
        <c:crosses val="autoZero"/>
        <c:auto val="1"/>
        <c:lblAlgn val="ctr"/>
        <c:lblOffset val="100"/>
        <c:tickLblSkip val="1"/>
        <c:noMultiLvlLbl val="0"/>
      </c:catAx>
      <c:valAx>
        <c:axId val="17325299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24710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与目前持平</c:v>
                </c:pt>
                <c:pt idx="1">
                  <c:v>增加</c:v>
                </c:pt>
                <c:pt idx="2">
                  <c:v>不确定</c:v>
                </c:pt>
              </c:strCache>
            </c:strRef>
          </c:cat>
          <c:val>
            <c:numRef>
              <c:f>Sheet1!$B$2:$B$4</c:f>
              <c:numCache>
                <c:formatCode>0.0%</c:formatCode>
                <c:ptCount val="3"/>
                <c:pt idx="0">
                  <c:v>0.4</c:v>
                </c:pt>
                <c:pt idx="1">
                  <c:v>0.2</c:v>
                </c:pt>
                <c:pt idx="2">
                  <c:v>0.4</c:v>
                </c:pt>
              </c:numCache>
            </c:numRef>
          </c:val>
        </c:ser>
        <c:dLbls>
          <c:showLegendKey val="0"/>
          <c:showVal val="0"/>
          <c:showCatName val="0"/>
          <c:showSerName val="0"/>
          <c:showPercent val="0"/>
          <c:showBubbleSize val="0"/>
        </c:dLbls>
        <c:gapWidth val="80"/>
        <c:axId val="145981824"/>
        <c:axId val="145983360"/>
      </c:barChart>
      <c:catAx>
        <c:axId val="14598182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983360"/>
        <c:crosses val="autoZero"/>
        <c:auto val="1"/>
        <c:lblAlgn val="ctr"/>
        <c:lblOffset val="100"/>
        <c:tickLblSkip val="1"/>
        <c:noMultiLvlLbl val="0"/>
      </c:catAx>
      <c:valAx>
        <c:axId val="14598336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98182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专业性知识与技能</c:v>
                </c:pt>
                <c:pt idx="1">
                  <c:v>通识性知识与技能</c:v>
                </c:pt>
                <c:pt idx="2">
                  <c:v>自我管理能力</c:v>
                </c:pt>
                <c:pt idx="3">
                  <c:v>执行能力</c:v>
                </c:pt>
                <c:pt idx="4">
                  <c:v>学习能力</c:v>
                </c:pt>
                <c:pt idx="5">
                  <c:v>职业适应能力</c:v>
                </c:pt>
                <c:pt idx="6">
                  <c:v>创新能力</c:v>
                </c:pt>
                <c:pt idx="7">
                  <c:v>沟通与表达能力</c:v>
                </c:pt>
              </c:strCache>
            </c:strRef>
          </c:cat>
          <c:val>
            <c:numRef>
              <c:f>Sheet1!$B$2:$B$9</c:f>
              <c:numCache>
                <c:formatCode>0.0_);[Red]\(0.0\)</c:formatCode>
                <c:ptCount val="8"/>
                <c:pt idx="0">
                  <c:v>4</c:v>
                </c:pt>
                <c:pt idx="1">
                  <c:v>1.2</c:v>
                </c:pt>
                <c:pt idx="2">
                  <c:v>1</c:v>
                </c:pt>
                <c:pt idx="3">
                  <c:v>0.8</c:v>
                </c:pt>
                <c:pt idx="4">
                  <c:v>0.8</c:v>
                </c:pt>
                <c:pt idx="5">
                  <c:v>0.600000000000001</c:v>
                </c:pt>
                <c:pt idx="6">
                  <c:v>0.4</c:v>
                </c:pt>
                <c:pt idx="7">
                  <c:v>0.2</c:v>
                </c:pt>
              </c:numCache>
            </c:numRef>
          </c:val>
        </c:ser>
        <c:dLbls>
          <c:showLegendKey val="0"/>
          <c:showVal val="0"/>
          <c:showCatName val="0"/>
          <c:showSerName val="0"/>
          <c:showPercent val="0"/>
          <c:showBubbleSize val="0"/>
        </c:dLbls>
        <c:gapWidth val="80"/>
        <c:axId val="173422464"/>
        <c:axId val="173424000"/>
      </c:barChart>
      <c:catAx>
        <c:axId val="1734224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424000"/>
        <c:crosses val="autoZero"/>
        <c:auto val="1"/>
        <c:lblAlgn val="ctr"/>
        <c:lblOffset val="100"/>
        <c:tickLblSkip val="1"/>
        <c:noMultiLvlLbl val="0"/>
      </c:catAx>
      <c:valAx>
        <c:axId val="17342400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4224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爱岗敬业</c:v>
                </c:pt>
                <c:pt idx="1">
                  <c:v>责任感强</c:v>
                </c:pt>
                <c:pt idx="2">
                  <c:v>自信心强</c:v>
                </c:pt>
                <c:pt idx="3">
                  <c:v>勤奋努力</c:v>
                </c:pt>
                <c:pt idx="4">
                  <c:v>积极主动</c:v>
                </c:pt>
                <c:pt idx="5">
                  <c:v>忠诚可靠</c:v>
                </c:pt>
                <c:pt idx="6">
                  <c:v>忠于职守</c:v>
                </c:pt>
                <c:pt idx="7">
                  <c:v>严谨细致</c:v>
                </c:pt>
              </c:strCache>
            </c:strRef>
          </c:cat>
          <c:val>
            <c:numRef>
              <c:f>Sheet1!$B$2:$B$9</c:f>
              <c:numCache>
                <c:formatCode>0.0_);[Red]\(0.0\)</c:formatCode>
                <c:ptCount val="8"/>
                <c:pt idx="0">
                  <c:v>3.2</c:v>
                </c:pt>
                <c:pt idx="1">
                  <c:v>2.2</c:v>
                </c:pt>
                <c:pt idx="2">
                  <c:v>1</c:v>
                </c:pt>
                <c:pt idx="3">
                  <c:v>1</c:v>
                </c:pt>
                <c:pt idx="4">
                  <c:v>0.600000000000001</c:v>
                </c:pt>
                <c:pt idx="5">
                  <c:v>0.600000000000001</c:v>
                </c:pt>
                <c:pt idx="6">
                  <c:v>0.2</c:v>
                </c:pt>
                <c:pt idx="7">
                  <c:v>0.2</c:v>
                </c:pt>
              </c:numCache>
            </c:numRef>
          </c:val>
        </c:ser>
        <c:dLbls>
          <c:showLegendKey val="0"/>
          <c:showVal val="0"/>
          <c:showCatName val="0"/>
          <c:showSerName val="0"/>
          <c:showPercent val="0"/>
          <c:showBubbleSize val="0"/>
        </c:dLbls>
        <c:gapWidth val="80"/>
        <c:axId val="159128960"/>
        <c:axId val="159130752"/>
      </c:barChart>
      <c:catAx>
        <c:axId val="1591289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9130752"/>
        <c:crosses val="autoZero"/>
        <c:auto val="1"/>
        <c:lblAlgn val="ctr"/>
        <c:lblOffset val="100"/>
        <c:tickLblSkip val="1"/>
        <c:noMultiLvlLbl val="0"/>
      </c:catAx>
      <c:valAx>
        <c:axId val="15913075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91289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执行能力</c:v>
                </c:pt>
                <c:pt idx="1">
                  <c:v>创新能力</c:v>
                </c:pt>
                <c:pt idx="2">
                  <c:v>自我管理能力</c:v>
                </c:pt>
                <c:pt idx="3">
                  <c:v>学习能力</c:v>
                </c:pt>
                <c:pt idx="4">
                  <c:v>专业性知识与技能</c:v>
                </c:pt>
                <c:pt idx="5">
                  <c:v>沟通与表达能力</c:v>
                </c:pt>
                <c:pt idx="6">
                  <c:v>职业适应能力</c:v>
                </c:pt>
                <c:pt idx="7">
                  <c:v>组织与管理能力</c:v>
                </c:pt>
              </c:strCache>
            </c:strRef>
          </c:cat>
          <c:val>
            <c:numRef>
              <c:f>Sheet1!$B$2:$B$9</c:f>
              <c:numCache>
                <c:formatCode>0.0_);[Red]\(0.0\)</c:formatCode>
                <c:ptCount val="8"/>
                <c:pt idx="0">
                  <c:v>2.6</c:v>
                </c:pt>
                <c:pt idx="1">
                  <c:v>1.8</c:v>
                </c:pt>
                <c:pt idx="2">
                  <c:v>1.2</c:v>
                </c:pt>
                <c:pt idx="3">
                  <c:v>1.2</c:v>
                </c:pt>
                <c:pt idx="4">
                  <c:v>1</c:v>
                </c:pt>
                <c:pt idx="5">
                  <c:v>0.600000000000001</c:v>
                </c:pt>
                <c:pt idx="6">
                  <c:v>0.4</c:v>
                </c:pt>
                <c:pt idx="7">
                  <c:v>0.2</c:v>
                </c:pt>
              </c:numCache>
            </c:numRef>
          </c:val>
        </c:ser>
        <c:dLbls>
          <c:showLegendKey val="0"/>
          <c:showVal val="0"/>
          <c:showCatName val="0"/>
          <c:showSerName val="0"/>
          <c:showPercent val="0"/>
          <c:showBubbleSize val="0"/>
        </c:dLbls>
        <c:gapWidth val="80"/>
        <c:axId val="173212800"/>
        <c:axId val="173214336"/>
      </c:barChart>
      <c:catAx>
        <c:axId val="17321280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214336"/>
        <c:crosses val="autoZero"/>
        <c:auto val="1"/>
        <c:lblAlgn val="ctr"/>
        <c:lblOffset val="100"/>
        <c:tickLblSkip val="1"/>
        <c:noMultiLvlLbl val="0"/>
      </c:catAx>
      <c:valAx>
        <c:axId val="17321433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21280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Sheet1!$A$2:$A$10</c:f>
              <c:strCache>
                <c:ptCount val="9"/>
                <c:pt idx="0">
                  <c:v>积极主动</c:v>
                </c:pt>
                <c:pt idx="1">
                  <c:v>勤奋努力</c:v>
                </c:pt>
                <c:pt idx="2">
                  <c:v>忠诚可靠</c:v>
                </c:pt>
                <c:pt idx="3">
                  <c:v>爱岗敬业</c:v>
                </c:pt>
                <c:pt idx="4">
                  <c:v>乐于合作</c:v>
                </c:pt>
                <c:pt idx="5">
                  <c:v>勇于承担责任</c:v>
                </c:pt>
                <c:pt idx="6">
                  <c:v>忠于职守</c:v>
                </c:pt>
                <c:pt idx="7">
                  <c:v>严谨细致</c:v>
                </c:pt>
                <c:pt idx="8">
                  <c:v>责任感强</c:v>
                </c:pt>
              </c:strCache>
            </c:strRef>
          </c:cat>
          <c:val>
            <c:numRef>
              <c:f>Sheet1!$B$2:$B$10</c:f>
              <c:numCache>
                <c:formatCode>0.0_);[Red]\(0.0\)</c:formatCode>
                <c:ptCount val="9"/>
                <c:pt idx="0">
                  <c:v>2.6</c:v>
                </c:pt>
                <c:pt idx="1">
                  <c:v>1.6</c:v>
                </c:pt>
                <c:pt idx="2">
                  <c:v>1.6</c:v>
                </c:pt>
                <c:pt idx="3">
                  <c:v>1</c:v>
                </c:pt>
                <c:pt idx="4">
                  <c:v>0.8</c:v>
                </c:pt>
                <c:pt idx="5">
                  <c:v>0.8</c:v>
                </c:pt>
                <c:pt idx="6">
                  <c:v>0.2</c:v>
                </c:pt>
                <c:pt idx="7">
                  <c:v>0.2</c:v>
                </c:pt>
                <c:pt idx="8">
                  <c:v>0.2</c:v>
                </c:pt>
              </c:numCache>
            </c:numRef>
          </c:val>
        </c:ser>
        <c:dLbls>
          <c:showLegendKey val="0"/>
          <c:showVal val="0"/>
          <c:showCatName val="0"/>
          <c:showSerName val="0"/>
          <c:showPercent val="0"/>
          <c:showBubbleSize val="0"/>
        </c:dLbls>
        <c:gapWidth val="80"/>
        <c:axId val="387553920"/>
        <c:axId val="387576192"/>
      </c:barChart>
      <c:catAx>
        <c:axId val="3875539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576192"/>
        <c:crosses val="autoZero"/>
        <c:auto val="1"/>
        <c:lblAlgn val="ctr"/>
        <c:lblOffset val="100"/>
        <c:tickLblSkip val="1"/>
        <c:noMultiLvlLbl val="0"/>
      </c:catAx>
      <c:valAx>
        <c:axId val="38757619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5539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实习实践活动</c:v>
                </c:pt>
                <c:pt idx="1">
                  <c:v>公开发表论文</c:v>
                </c:pt>
                <c:pt idx="2">
                  <c:v>课外自学的知识和技能</c:v>
                </c:pt>
                <c:pt idx="3">
                  <c:v>担任学生干部</c:v>
                </c:pt>
                <c:pt idx="4">
                  <c:v>参与科研课题</c:v>
                </c:pt>
                <c:pt idx="5">
                  <c:v>社会活动</c:v>
                </c:pt>
                <c:pt idx="6">
                  <c:v>社团活动</c:v>
                </c:pt>
              </c:strCache>
            </c:strRef>
          </c:cat>
          <c:val>
            <c:numRef>
              <c:f>Sheet1!$B$2:$B$8</c:f>
              <c:numCache>
                <c:formatCode>0.0_);[Red]\(0.0\)</c:formatCode>
                <c:ptCount val="7"/>
                <c:pt idx="0">
                  <c:v>3.6</c:v>
                </c:pt>
                <c:pt idx="1">
                  <c:v>1.4</c:v>
                </c:pt>
                <c:pt idx="2">
                  <c:v>1.2</c:v>
                </c:pt>
                <c:pt idx="3">
                  <c:v>1</c:v>
                </c:pt>
                <c:pt idx="4">
                  <c:v>0.8</c:v>
                </c:pt>
                <c:pt idx="5">
                  <c:v>0.600000000000001</c:v>
                </c:pt>
                <c:pt idx="6">
                  <c:v>0.4</c:v>
                </c:pt>
              </c:numCache>
            </c:numRef>
          </c:val>
        </c:ser>
        <c:dLbls>
          <c:showLegendKey val="0"/>
          <c:showVal val="0"/>
          <c:showCatName val="0"/>
          <c:showSerName val="0"/>
          <c:showPercent val="0"/>
          <c:showBubbleSize val="0"/>
        </c:dLbls>
        <c:gapWidth val="80"/>
        <c:axId val="173326720"/>
        <c:axId val="173328256"/>
      </c:barChart>
      <c:catAx>
        <c:axId val="1733267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328256"/>
        <c:crosses val="autoZero"/>
        <c:auto val="1"/>
        <c:lblAlgn val="ctr"/>
        <c:lblOffset val="100"/>
        <c:tickLblSkip val="1"/>
        <c:noMultiLvlLbl val="0"/>
      </c:catAx>
      <c:valAx>
        <c:axId val="17332825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33267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专业对口</c:v>
                </c:pt>
                <c:pt idx="1">
                  <c:v>实习实践经历丰富</c:v>
                </c:pt>
                <c:pt idx="2">
                  <c:v>社团或学生工作经验丰富</c:v>
                </c:pt>
                <c:pt idx="3">
                  <c:v>来自名校</c:v>
                </c:pt>
                <c:pt idx="4">
                  <c:v>文体特长多</c:v>
                </c:pt>
              </c:strCache>
            </c:strRef>
          </c:cat>
          <c:val>
            <c:numRef>
              <c:f>Sheet1!$B$2:$B$6</c:f>
              <c:numCache>
                <c:formatCode>0.0_);[Red]\(0.0\)</c:formatCode>
                <c:ptCount val="5"/>
                <c:pt idx="0">
                  <c:v>3.8</c:v>
                </c:pt>
                <c:pt idx="1">
                  <c:v>2</c:v>
                </c:pt>
                <c:pt idx="2">
                  <c:v>1.6</c:v>
                </c:pt>
                <c:pt idx="3">
                  <c:v>1.2</c:v>
                </c:pt>
                <c:pt idx="4">
                  <c:v>0.4</c:v>
                </c:pt>
              </c:numCache>
            </c:numRef>
          </c:val>
        </c:ser>
        <c:dLbls>
          <c:showLegendKey val="0"/>
          <c:showVal val="0"/>
          <c:showCatName val="0"/>
          <c:showSerName val="0"/>
          <c:showPercent val="0"/>
          <c:showBubbleSize val="0"/>
        </c:dLbls>
        <c:gapWidth val="80"/>
        <c:axId val="183900032"/>
        <c:axId val="183901568"/>
      </c:barChart>
      <c:catAx>
        <c:axId val="1839000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3901568"/>
        <c:crosses val="autoZero"/>
        <c:auto val="1"/>
        <c:lblAlgn val="ctr"/>
        <c:lblOffset val="100"/>
        <c:tickLblSkip val="1"/>
        <c:noMultiLvlLbl val="0"/>
      </c:catAx>
      <c:valAx>
        <c:axId val="18390156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39000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67246336779095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Sheet1!$A$2:$A$10</c:f>
              <c:strCache>
                <c:ptCount val="9"/>
                <c:pt idx="0">
                  <c:v>薪酬福利偏低</c:v>
                </c:pt>
                <c:pt idx="1">
                  <c:v>准备求学深造、创业或从事自由职业</c:v>
                </c:pt>
                <c:pt idx="2">
                  <c:v>不能发挥专业所长</c:v>
                </c:pt>
                <c:pt idx="3">
                  <c:v>其他</c:v>
                </c:pt>
                <c:pt idx="4">
                  <c:v>转换职业或行业</c:v>
                </c:pt>
                <c:pt idx="5">
                  <c:v>不能实现职业理想</c:v>
                </c:pt>
                <c:pt idx="6">
                  <c:v>难以胜任工作要求</c:v>
                </c:pt>
                <c:pt idx="7">
                  <c:v>工作压力太大</c:v>
                </c:pt>
                <c:pt idx="8">
                  <c:v>家庭原因</c:v>
                </c:pt>
              </c:strCache>
            </c:strRef>
          </c:cat>
          <c:val>
            <c:numRef>
              <c:f>Sheet1!$B$2:$B$10</c:f>
              <c:numCache>
                <c:formatCode>0.0_);[Red]\(0.0\)</c:formatCode>
                <c:ptCount val="9"/>
                <c:pt idx="0">
                  <c:v>2</c:v>
                </c:pt>
                <c:pt idx="1">
                  <c:v>1.2</c:v>
                </c:pt>
                <c:pt idx="2">
                  <c:v>1.2</c:v>
                </c:pt>
                <c:pt idx="3">
                  <c:v>1</c:v>
                </c:pt>
                <c:pt idx="4">
                  <c:v>1</c:v>
                </c:pt>
                <c:pt idx="5">
                  <c:v>1</c:v>
                </c:pt>
                <c:pt idx="6">
                  <c:v>0.8</c:v>
                </c:pt>
                <c:pt idx="7">
                  <c:v>0.600000000000001</c:v>
                </c:pt>
                <c:pt idx="8">
                  <c:v>0.2</c:v>
                </c:pt>
              </c:numCache>
            </c:numRef>
          </c:val>
        </c:ser>
        <c:dLbls>
          <c:showLegendKey val="0"/>
          <c:showVal val="0"/>
          <c:showCatName val="0"/>
          <c:showSerName val="0"/>
          <c:showPercent val="0"/>
          <c:showBubbleSize val="0"/>
        </c:dLbls>
        <c:gapWidth val="80"/>
        <c:axId val="291646848"/>
        <c:axId val="291652736"/>
      </c:barChart>
      <c:catAx>
        <c:axId val="2916468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652736"/>
        <c:crosses val="autoZero"/>
        <c:auto val="1"/>
        <c:lblAlgn val="ctr"/>
        <c:lblOffset val="100"/>
        <c:tickLblSkip val="1"/>
        <c:noMultiLvlLbl val="0"/>
      </c:catAx>
      <c:valAx>
        <c:axId val="29165273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6468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很多</c:v>
                </c:pt>
                <c:pt idx="1">
                  <c:v>多</c:v>
                </c:pt>
                <c:pt idx="2">
                  <c:v>不好说</c:v>
                </c:pt>
                <c:pt idx="3">
                  <c:v>少</c:v>
                </c:pt>
              </c:strCache>
            </c:strRef>
          </c:cat>
          <c:val>
            <c:numRef>
              <c:f>Sheet1!$B$2:$B$5</c:f>
              <c:numCache>
                <c:formatCode>0.0%</c:formatCode>
                <c:ptCount val="4"/>
                <c:pt idx="0">
                  <c:v>0.226</c:v>
                </c:pt>
                <c:pt idx="1">
                  <c:v>0.516</c:v>
                </c:pt>
                <c:pt idx="2">
                  <c:v>0.226</c:v>
                </c:pt>
                <c:pt idx="3">
                  <c:v>0.032</c:v>
                </c:pt>
              </c:numCache>
            </c:numRef>
          </c:val>
        </c:ser>
        <c:dLbls>
          <c:showLegendKey val="0"/>
          <c:showVal val="0"/>
          <c:showCatName val="0"/>
          <c:showSerName val="0"/>
          <c:showPercent val="0"/>
          <c:showBubbleSize val="0"/>
        </c:dLbls>
        <c:gapWidth val="80"/>
        <c:axId val="281137920"/>
        <c:axId val="281139456"/>
      </c:barChart>
      <c:catAx>
        <c:axId val="2811379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139456"/>
        <c:crosses val="autoZero"/>
        <c:auto val="1"/>
        <c:lblAlgn val="ctr"/>
        <c:lblOffset val="100"/>
        <c:tickLblSkip val="1"/>
        <c:noMultiLvlLbl val="0"/>
      </c:catAx>
      <c:valAx>
        <c:axId val="2811394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1379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很满意</c:v>
                </c:pt>
                <c:pt idx="1">
                  <c:v>满意</c:v>
                </c:pt>
              </c:strCache>
            </c:strRef>
          </c:cat>
          <c:val>
            <c:numRef>
              <c:f>Sheet1!$B$2:$B$3</c:f>
              <c:numCache>
                <c:formatCode>0.0%</c:formatCode>
                <c:ptCount val="2"/>
                <c:pt idx="0">
                  <c:v>0.2</c:v>
                </c:pt>
                <c:pt idx="1">
                  <c:v>0.8</c:v>
                </c:pt>
              </c:numCache>
            </c:numRef>
          </c:val>
        </c:ser>
        <c:dLbls>
          <c:showLegendKey val="0"/>
          <c:showVal val="0"/>
          <c:showCatName val="0"/>
          <c:showSerName val="0"/>
          <c:showPercent val="0"/>
          <c:showBubbleSize val="0"/>
        </c:dLbls>
        <c:gapWidth val="80"/>
        <c:axId val="291669120"/>
        <c:axId val="291670656"/>
      </c:barChart>
      <c:catAx>
        <c:axId val="2916691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670656"/>
        <c:crosses val="autoZero"/>
        <c:auto val="1"/>
        <c:lblAlgn val="ctr"/>
        <c:lblOffset val="100"/>
        <c:tickLblSkip val="1"/>
        <c:noMultiLvlLbl val="0"/>
      </c:catAx>
      <c:valAx>
        <c:axId val="2916706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6691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很满意</c:v>
                </c:pt>
                <c:pt idx="1">
                  <c:v>满意</c:v>
                </c:pt>
              </c:strCache>
            </c:strRef>
          </c:cat>
          <c:val>
            <c:numRef>
              <c:f>Sheet1!$B$2:$B$3</c:f>
              <c:numCache>
                <c:formatCode>0.0%</c:formatCode>
                <c:ptCount val="2"/>
                <c:pt idx="0">
                  <c:v>0.2</c:v>
                </c:pt>
                <c:pt idx="1">
                  <c:v>0.8</c:v>
                </c:pt>
              </c:numCache>
            </c:numRef>
          </c:val>
        </c:ser>
        <c:dLbls>
          <c:showLegendKey val="0"/>
          <c:showVal val="0"/>
          <c:showCatName val="0"/>
          <c:showSerName val="0"/>
          <c:showPercent val="0"/>
          <c:showBubbleSize val="0"/>
        </c:dLbls>
        <c:gapWidth val="80"/>
        <c:axId val="182196864"/>
        <c:axId val="182202752"/>
      </c:barChart>
      <c:catAx>
        <c:axId val="1821968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202752"/>
        <c:crosses val="autoZero"/>
        <c:auto val="1"/>
        <c:lblAlgn val="ctr"/>
        <c:lblOffset val="100"/>
        <c:tickLblSkip val="1"/>
        <c:noMultiLvlLbl val="0"/>
      </c:catAx>
      <c:valAx>
        <c:axId val="18220275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1968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很积极</c:v>
                </c:pt>
                <c:pt idx="1">
                  <c:v>积极</c:v>
                </c:pt>
              </c:strCache>
            </c:strRef>
          </c:cat>
          <c:val>
            <c:numRef>
              <c:f>Sheet1!$B$2:$B$3</c:f>
              <c:numCache>
                <c:formatCode>0.0%</c:formatCode>
                <c:ptCount val="2"/>
                <c:pt idx="0">
                  <c:v>0.2</c:v>
                </c:pt>
                <c:pt idx="1">
                  <c:v>0.8</c:v>
                </c:pt>
              </c:numCache>
            </c:numRef>
          </c:val>
        </c:ser>
        <c:dLbls>
          <c:showLegendKey val="0"/>
          <c:showVal val="0"/>
          <c:showCatName val="0"/>
          <c:showSerName val="0"/>
          <c:showPercent val="0"/>
          <c:showBubbleSize val="0"/>
        </c:dLbls>
        <c:gapWidth val="80"/>
        <c:axId val="297939328"/>
        <c:axId val="297940864"/>
      </c:barChart>
      <c:catAx>
        <c:axId val="2979393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940864"/>
        <c:crosses val="autoZero"/>
        <c:auto val="1"/>
        <c:lblAlgn val="ctr"/>
        <c:lblOffset val="100"/>
        <c:tickLblSkip val="1"/>
        <c:noMultiLvlLbl val="0"/>
      </c:catAx>
      <c:valAx>
        <c:axId val="2979408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9393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学校组织的招聘会</c:v>
                </c:pt>
                <c:pt idx="1">
                  <c:v>校友推荐</c:v>
                </c:pt>
                <c:pt idx="2">
                  <c:v>老师推荐</c:v>
                </c:pt>
                <c:pt idx="3">
                  <c:v>学校发布的招聘信息</c:v>
                </c:pt>
                <c:pt idx="4">
                  <c:v>校企合作培养</c:v>
                </c:pt>
                <c:pt idx="5">
                  <c:v>不通过校园渠道招聘毕业生</c:v>
                </c:pt>
                <c:pt idx="6">
                  <c:v>其他校园渠道</c:v>
                </c:pt>
              </c:strCache>
            </c:strRef>
          </c:cat>
          <c:val>
            <c:numRef>
              <c:f>Sheet1!$B$2:$B$8</c:f>
              <c:numCache>
                <c:formatCode>0.0_);[Red]\(0.0\)</c:formatCode>
                <c:ptCount val="7"/>
                <c:pt idx="0">
                  <c:v>1.6</c:v>
                </c:pt>
                <c:pt idx="1">
                  <c:v>1.4</c:v>
                </c:pt>
                <c:pt idx="2">
                  <c:v>1.4</c:v>
                </c:pt>
                <c:pt idx="3">
                  <c:v>1.4</c:v>
                </c:pt>
                <c:pt idx="4">
                  <c:v>1.2</c:v>
                </c:pt>
                <c:pt idx="5">
                  <c:v>1</c:v>
                </c:pt>
                <c:pt idx="6">
                  <c:v>1</c:v>
                </c:pt>
              </c:numCache>
            </c:numRef>
          </c:val>
        </c:ser>
        <c:dLbls>
          <c:showLegendKey val="0"/>
          <c:showVal val="0"/>
          <c:showCatName val="0"/>
          <c:showSerName val="0"/>
          <c:showPercent val="0"/>
          <c:showBubbleSize val="0"/>
        </c:dLbls>
        <c:gapWidth val="80"/>
        <c:axId val="291497856"/>
        <c:axId val="291499392"/>
      </c:barChart>
      <c:catAx>
        <c:axId val="29149785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499392"/>
        <c:crosses val="autoZero"/>
        <c:auto val="1"/>
        <c:lblAlgn val="ctr"/>
        <c:lblOffset val="100"/>
        <c:tickLblSkip val="1"/>
        <c:noMultiLvlLbl val="0"/>
      </c:catAx>
      <c:valAx>
        <c:axId val="29149939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49785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很满意</c:v>
                </c:pt>
                <c:pt idx="1">
                  <c:v>满意</c:v>
                </c:pt>
              </c:strCache>
            </c:strRef>
          </c:cat>
          <c:val>
            <c:numRef>
              <c:f>Sheet1!$B$2:$B$3</c:f>
              <c:numCache>
                <c:formatCode>0.0%</c:formatCode>
                <c:ptCount val="2"/>
                <c:pt idx="0">
                  <c:v>0.25</c:v>
                </c:pt>
                <c:pt idx="1">
                  <c:v>0.750000000000001</c:v>
                </c:pt>
              </c:numCache>
            </c:numRef>
          </c:val>
        </c:ser>
        <c:dLbls>
          <c:showLegendKey val="0"/>
          <c:showVal val="0"/>
          <c:showCatName val="0"/>
          <c:showSerName val="0"/>
          <c:showPercent val="0"/>
          <c:showBubbleSize val="0"/>
        </c:dLbls>
        <c:gapWidth val="80"/>
        <c:axId val="299003264"/>
        <c:axId val="299005056"/>
      </c:barChart>
      <c:catAx>
        <c:axId val="2990032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9005056"/>
        <c:crosses val="autoZero"/>
        <c:auto val="1"/>
        <c:lblAlgn val="ctr"/>
        <c:lblOffset val="100"/>
        <c:tickLblSkip val="1"/>
        <c:noMultiLvlLbl val="0"/>
      </c:catAx>
      <c:valAx>
        <c:axId val="2990050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90032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招聘信息的发布</c:v>
                </c:pt>
                <c:pt idx="1">
                  <c:v>组织实习实践活动</c:v>
                </c:pt>
                <c:pt idx="2">
                  <c:v>就业派遣手续的办理</c:v>
                </c:pt>
                <c:pt idx="3">
                  <c:v>根据用人单位的个性化需求并提供相应服务</c:v>
                </c:pt>
                <c:pt idx="4">
                  <c:v>人才培养合作</c:v>
                </c:pt>
                <c:pt idx="5">
                  <c:v>校园招聘会的组织</c:v>
                </c:pt>
                <c:pt idx="6">
                  <c:v>配合用人单位开展人力资源调查</c:v>
                </c:pt>
              </c:strCache>
            </c:strRef>
          </c:cat>
          <c:val>
            <c:numRef>
              <c:f>Sheet1!$B$2:$B$8</c:f>
              <c:numCache>
                <c:formatCode>0.0_);[Red]\(0.0\)</c:formatCode>
                <c:ptCount val="7"/>
                <c:pt idx="0">
                  <c:v>3</c:v>
                </c:pt>
                <c:pt idx="1">
                  <c:v>1.6</c:v>
                </c:pt>
                <c:pt idx="2">
                  <c:v>1.2</c:v>
                </c:pt>
                <c:pt idx="3">
                  <c:v>1</c:v>
                </c:pt>
                <c:pt idx="4">
                  <c:v>0.8</c:v>
                </c:pt>
                <c:pt idx="5">
                  <c:v>0.8</c:v>
                </c:pt>
                <c:pt idx="6">
                  <c:v>0.600000000000001</c:v>
                </c:pt>
              </c:numCache>
            </c:numRef>
          </c:val>
        </c:ser>
        <c:dLbls>
          <c:showLegendKey val="0"/>
          <c:showVal val="0"/>
          <c:showCatName val="0"/>
          <c:showSerName val="0"/>
          <c:showPercent val="0"/>
          <c:showBubbleSize val="0"/>
        </c:dLbls>
        <c:gapWidth val="80"/>
        <c:axId val="298923136"/>
        <c:axId val="298924672"/>
      </c:barChart>
      <c:catAx>
        <c:axId val="2989231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924672"/>
        <c:crosses val="autoZero"/>
        <c:auto val="1"/>
        <c:lblAlgn val="ctr"/>
        <c:lblOffset val="100"/>
        <c:tickLblSkip val="1"/>
        <c:noMultiLvlLbl val="0"/>
      </c:catAx>
      <c:valAx>
        <c:axId val="29892467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89231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了解用人单位的个性化需求并提供相应服务</c:v>
                </c:pt>
                <c:pt idx="1">
                  <c:v>就业派遣手续的办理</c:v>
                </c:pt>
                <c:pt idx="2">
                  <c:v>组织实习实践活动</c:v>
                </c:pt>
                <c:pt idx="3">
                  <c:v>学校对毕业生的推荐工作</c:v>
                </c:pt>
                <c:pt idx="4">
                  <c:v>校园招聘会的组织</c:v>
                </c:pt>
                <c:pt idx="5">
                  <c:v>招聘信息的发布</c:v>
                </c:pt>
                <c:pt idx="6">
                  <c:v>人才培养合作</c:v>
                </c:pt>
                <c:pt idx="7">
                  <c:v>配合用人单位开展人力资源调查</c:v>
                </c:pt>
              </c:strCache>
            </c:strRef>
          </c:cat>
          <c:val>
            <c:numRef>
              <c:f>Sheet1!$B$2:$B$9</c:f>
              <c:numCache>
                <c:formatCode>0.0_);[Red]\(0.0\)</c:formatCode>
                <c:ptCount val="8"/>
                <c:pt idx="0">
                  <c:v>4.25</c:v>
                </c:pt>
                <c:pt idx="1">
                  <c:v>4.25</c:v>
                </c:pt>
                <c:pt idx="2">
                  <c:v>4.25</c:v>
                </c:pt>
                <c:pt idx="3">
                  <c:v>4.25</c:v>
                </c:pt>
                <c:pt idx="4">
                  <c:v>4.25</c:v>
                </c:pt>
                <c:pt idx="5">
                  <c:v>4.25</c:v>
                </c:pt>
                <c:pt idx="6">
                  <c:v>4</c:v>
                </c:pt>
                <c:pt idx="7">
                  <c:v>4</c:v>
                </c:pt>
              </c:numCache>
            </c:numRef>
          </c:val>
        </c:ser>
        <c:dLbls>
          <c:showLegendKey val="0"/>
          <c:showVal val="0"/>
          <c:showCatName val="0"/>
          <c:showSerName val="0"/>
          <c:showPercent val="0"/>
          <c:showBubbleSize val="0"/>
        </c:dLbls>
        <c:gapWidth val="80"/>
        <c:axId val="327580288"/>
        <c:axId val="327582080"/>
      </c:barChart>
      <c:catAx>
        <c:axId val="3275802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7582080"/>
        <c:crosses val="autoZero"/>
        <c:auto val="1"/>
        <c:lblAlgn val="ctr"/>
        <c:lblOffset val="100"/>
        <c:tickLblSkip val="1"/>
        <c:noMultiLvlLbl val="0"/>
      </c:catAx>
      <c:valAx>
        <c:axId val="32758208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75802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很高</c:v>
                </c:pt>
                <c:pt idx="1">
                  <c:v>高</c:v>
                </c:pt>
                <c:pt idx="2">
                  <c:v>不好说</c:v>
                </c:pt>
                <c:pt idx="3">
                  <c:v>低</c:v>
                </c:pt>
              </c:strCache>
            </c:strRef>
          </c:cat>
          <c:val>
            <c:numRef>
              <c:f>Sheet1!$B$2:$B$5</c:f>
              <c:numCache>
                <c:formatCode>0.0%</c:formatCode>
                <c:ptCount val="4"/>
                <c:pt idx="0">
                  <c:v>0.161</c:v>
                </c:pt>
                <c:pt idx="1">
                  <c:v>0.452</c:v>
                </c:pt>
                <c:pt idx="2">
                  <c:v>0.323</c:v>
                </c:pt>
                <c:pt idx="3">
                  <c:v>0.065</c:v>
                </c:pt>
              </c:numCache>
            </c:numRef>
          </c:val>
        </c:ser>
        <c:dLbls>
          <c:showLegendKey val="0"/>
          <c:showVal val="0"/>
          <c:showCatName val="0"/>
          <c:showSerName val="0"/>
          <c:showPercent val="0"/>
          <c:showBubbleSize val="0"/>
        </c:dLbls>
        <c:gapWidth val="80"/>
        <c:axId val="281876736"/>
        <c:axId val="281878528"/>
      </c:barChart>
      <c:catAx>
        <c:axId val="2818767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878528"/>
        <c:crosses val="autoZero"/>
        <c:auto val="1"/>
        <c:lblAlgn val="ctr"/>
        <c:lblOffset val="100"/>
        <c:tickLblSkip val="1"/>
        <c:noMultiLvlLbl val="0"/>
      </c:catAx>
      <c:valAx>
        <c:axId val="28187852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8767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902116212746134"/>
        </c:manualLayout>
      </c:layout>
      <c:barChart>
        <c:barDir val="bar"/>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c:formatCode>
                <c:ptCount val="12"/>
                <c:pt idx="0">
                  <c:v>0.548</c:v>
                </c:pt>
                <c:pt idx="1">
                  <c:v>0.548</c:v>
                </c:pt>
                <c:pt idx="2">
                  <c:v>0.323000000000001</c:v>
                </c:pt>
                <c:pt idx="3">
                  <c:v>0.871000000000001</c:v>
                </c:pt>
                <c:pt idx="4">
                  <c:v>0.645000000000001</c:v>
                </c:pt>
                <c:pt idx="5">
                  <c:v>0.419</c:v>
                </c:pt>
                <c:pt idx="6">
                  <c:v>0.355</c:v>
                </c:pt>
                <c:pt idx="7">
                  <c:v>0.226</c:v>
                </c:pt>
                <c:pt idx="8">
                  <c:v>0.484</c:v>
                </c:pt>
                <c:pt idx="9">
                  <c:v>0.484</c:v>
                </c:pt>
                <c:pt idx="10">
                  <c:v>0.581</c:v>
                </c:pt>
                <c:pt idx="11">
                  <c:v>0.452</c:v>
                </c:pt>
              </c:numCache>
            </c:numRef>
          </c:val>
        </c:ser>
        <c:dLbls>
          <c:showLegendKey val="0"/>
          <c:showVal val="0"/>
          <c:showCatName val="0"/>
          <c:showSerName val="0"/>
          <c:showPercent val="0"/>
          <c:showBubbleSize val="0"/>
        </c:dLbls>
        <c:gapWidth val="80"/>
        <c:axId val="281906560"/>
        <c:axId val="281912448"/>
      </c:barChart>
      <c:catAx>
        <c:axId val="281906560"/>
        <c:scaling>
          <c:orientation val="maxMin"/>
        </c:scaling>
        <c:delete val="0"/>
        <c:axPos val="l"/>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281912448"/>
        <c:crosses val="autoZero"/>
        <c:auto val="1"/>
        <c:lblAlgn val="ctr"/>
        <c:lblOffset val="100"/>
        <c:tickLblSkip val="1"/>
        <c:noMultiLvlLbl val="0"/>
      </c:catAx>
      <c:valAx>
        <c:axId val="281912448"/>
        <c:scaling>
          <c:orientation val="minMax"/>
        </c:scaling>
        <c:delete val="0"/>
        <c:axPos val="t"/>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90656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0.0_);[Red]\(0.0\)</c:formatCode>
                <c:ptCount val="12"/>
                <c:pt idx="0">
                  <c:v>4.47</c:v>
                </c:pt>
                <c:pt idx="1">
                  <c:v>4.65</c:v>
                </c:pt>
                <c:pt idx="2">
                  <c:v>4.7</c:v>
                </c:pt>
                <c:pt idx="3">
                  <c:v>4.59</c:v>
                </c:pt>
                <c:pt idx="4">
                  <c:v>4.6</c:v>
                </c:pt>
                <c:pt idx="5">
                  <c:v>4.85</c:v>
                </c:pt>
                <c:pt idx="6">
                  <c:v>4.92</c:v>
                </c:pt>
                <c:pt idx="7">
                  <c:v>4.71</c:v>
                </c:pt>
                <c:pt idx="8">
                  <c:v>4.67</c:v>
                </c:pt>
                <c:pt idx="9">
                  <c:v>4.73</c:v>
                </c:pt>
                <c:pt idx="10">
                  <c:v>4.72</c:v>
                </c:pt>
                <c:pt idx="11">
                  <c:v>4.79</c:v>
                </c:pt>
              </c:numCache>
            </c:numRef>
          </c:val>
        </c:ser>
        <c:dLbls>
          <c:showLegendKey val="0"/>
          <c:showVal val="0"/>
          <c:showCatName val="0"/>
          <c:showSerName val="0"/>
          <c:showPercent val="0"/>
          <c:showBubbleSize val="0"/>
        </c:dLbls>
        <c:gapWidth val="80"/>
        <c:axId val="190374656"/>
        <c:axId val="190376192"/>
      </c:barChart>
      <c:catAx>
        <c:axId val="19037465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190376192"/>
        <c:crosses val="autoZero"/>
        <c:auto val="1"/>
        <c:lblAlgn val="ctr"/>
        <c:lblOffset val="100"/>
        <c:tickLblSkip val="1"/>
        <c:noMultiLvlLbl val="0"/>
      </c:catAx>
      <c:valAx>
        <c:axId val="190376192"/>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37465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2"/>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农、林、牧、渔业</c:v>
                </c:pt>
                <c:pt idx="1">
                  <c:v>批发和零售业</c:v>
                </c:pt>
                <c:pt idx="2">
                  <c:v>信息传输、软件和信息技术服务业</c:v>
                </c:pt>
                <c:pt idx="3">
                  <c:v>金融业</c:v>
                </c:pt>
                <c:pt idx="4">
                  <c:v>房地产业</c:v>
                </c:pt>
                <c:pt idx="5">
                  <c:v>科学研究和技术服务业</c:v>
                </c:pt>
                <c:pt idx="6">
                  <c:v>居民服务、修理和其他服务业</c:v>
                </c:pt>
                <c:pt idx="7">
                  <c:v>教育</c:v>
                </c:pt>
                <c:pt idx="8">
                  <c:v>卫生和社会工作</c:v>
                </c:pt>
                <c:pt idx="9">
                  <c:v>文化、体育和娱乐业</c:v>
                </c:pt>
                <c:pt idx="10">
                  <c:v>公共管理、社会保障和社会组织</c:v>
                </c:pt>
              </c:strCache>
            </c:strRef>
          </c:cat>
          <c:val>
            <c:numRef>
              <c:f>Sheet1!$B$2:$B$12</c:f>
              <c:numCache>
                <c:formatCode>0.0%</c:formatCode>
                <c:ptCount val="11"/>
                <c:pt idx="0">
                  <c:v>0.014</c:v>
                </c:pt>
                <c:pt idx="1">
                  <c:v>0.005</c:v>
                </c:pt>
                <c:pt idx="2">
                  <c:v>0.01</c:v>
                </c:pt>
                <c:pt idx="3">
                  <c:v>0.01</c:v>
                </c:pt>
                <c:pt idx="4">
                  <c:v>0.002</c:v>
                </c:pt>
                <c:pt idx="5">
                  <c:v>0.005</c:v>
                </c:pt>
                <c:pt idx="6">
                  <c:v>0.002</c:v>
                </c:pt>
                <c:pt idx="7">
                  <c:v>0.031</c:v>
                </c:pt>
                <c:pt idx="8">
                  <c:v>0.002</c:v>
                </c:pt>
                <c:pt idx="9">
                  <c:v>0.826</c:v>
                </c:pt>
                <c:pt idx="10">
                  <c:v>0.093</c:v>
                </c:pt>
              </c:numCache>
            </c:numRef>
          </c:val>
        </c:ser>
        <c:dLbls>
          <c:showLegendKey val="0"/>
          <c:showVal val="0"/>
          <c:showCatName val="0"/>
          <c:showSerName val="0"/>
          <c:showPercent val="0"/>
          <c:showBubbleSize val="0"/>
        </c:dLbls>
        <c:gapWidth val="80"/>
        <c:axId val="324872832"/>
        <c:axId val="324942080"/>
      </c:barChart>
      <c:catAx>
        <c:axId val="3248728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942080"/>
        <c:crosses val="autoZero"/>
        <c:auto val="1"/>
        <c:lblAlgn val="ctr"/>
        <c:lblOffset val="100"/>
        <c:tickLblSkip val="1"/>
        <c:noMultiLvlLbl val="0"/>
      </c:catAx>
      <c:valAx>
        <c:axId val="3249420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8728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c:formatCode>
                <c:ptCount val="7"/>
                <c:pt idx="0">
                  <c:v>0.355</c:v>
                </c:pt>
                <c:pt idx="1">
                  <c:v>0.516</c:v>
                </c:pt>
                <c:pt idx="2">
                  <c:v>0.29</c:v>
                </c:pt>
                <c:pt idx="3">
                  <c:v>0.129</c:v>
                </c:pt>
                <c:pt idx="4">
                  <c:v>0.161</c:v>
                </c:pt>
                <c:pt idx="5">
                  <c:v>0.226</c:v>
                </c:pt>
                <c:pt idx="6">
                  <c:v>0.194</c:v>
                </c:pt>
              </c:numCache>
            </c:numRef>
          </c:val>
        </c:ser>
        <c:dLbls>
          <c:showLegendKey val="0"/>
          <c:showVal val="0"/>
          <c:showCatName val="0"/>
          <c:showSerName val="0"/>
          <c:showPercent val="0"/>
          <c:showBubbleSize val="0"/>
        </c:dLbls>
        <c:gapWidth val="80"/>
        <c:axId val="281819392"/>
        <c:axId val="282673152"/>
      </c:barChart>
      <c:catAx>
        <c:axId val="28181939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2673152"/>
        <c:crosses val="autoZero"/>
        <c:auto val="1"/>
        <c:lblAlgn val="ctr"/>
        <c:lblOffset val="100"/>
        <c:tickLblSkip val="1"/>
        <c:noMultiLvlLbl val="0"/>
      </c:catAx>
      <c:valAx>
        <c:axId val="28267315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81939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0.0_);[Red]\(0.0\)</c:formatCode>
                <c:ptCount val="7"/>
                <c:pt idx="0">
                  <c:v>4.73</c:v>
                </c:pt>
                <c:pt idx="1">
                  <c:v>4.59</c:v>
                </c:pt>
                <c:pt idx="2">
                  <c:v>4.89</c:v>
                </c:pt>
                <c:pt idx="3">
                  <c:v>5</c:v>
                </c:pt>
                <c:pt idx="4">
                  <c:v>5</c:v>
                </c:pt>
                <c:pt idx="5">
                  <c:v>4.88</c:v>
                </c:pt>
                <c:pt idx="6">
                  <c:v>4.33</c:v>
                </c:pt>
              </c:numCache>
            </c:numRef>
          </c:val>
        </c:ser>
        <c:dLbls>
          <c:showLegendKey val="0"/>
          <c:showVal val="0"/>
          <c:showCatName val="0"/>
          <c:showSerName val="0"/>
          <c:showPercent val="0"/>
          <c:showBubbleSize val="0"/>
        </c:dLbls>
        <c:gapWidth val="80"/>
        <c:axId val="291733504"/>
        <c:axId val="291735040"/>
      </c:barChart>
      <c:catAx>
        <c:axId val="29173350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735040"/>
        <c:crosses val="autoZero"/>
        <c:auto val="1"/>
        <c:lblAlgn val="ctr"/>
        <c:lblOffset val="100"/>
        <c:tickLblSkip val="1"/>
        <c:noMultiLvlLbl val="0"/>
      </c:catAx>
      <c:valAx>
        <c:axId val="29173504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73350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上学期间未创业，毕业后也不打算创业</c:v>
                </c:pt>
                <c:pt idx="1">
                  <c:v>上学期间未创业，毕业后打算马上创业</c:v>
                </c:pt>
                <c:pt idx="2">
                  <c:v>上学期间未创业，毕业后打算工作几年再创业</c:v>
                </c:pt>
                <c:pt idx="3">
                  <c:v>上学期间创业了，毕业后打算继续创业</c:v>
                </c:pt>
              </c:strCache>
            </c:strRef>
          </c:cat>
          <c:val>
            <c:numRef>
              <c:f>Sheet1!$B$2:$B$5</c:f>
              <c:numCache>
                <c:formatCode>0.0%</c:formatCode>
                <c:ptCount val="4"/>
                <c:pt idx="0">
                  <c:v>0.258</c:v>
                </c:pt>
                <c:pt idx="1">
                  <c:v>0.129</c:v>
                </c:pt>
                <c:pt idx="2">
                  <c:v>0.484</c:v>
                </c:pt>
                <c:pt idx="3">
                  <c:v>0.129</c:v>
                </c:pt>
              </c:numCache>
            </c:numRef>
          </c:val>
        </c:ser>
        <c:dLbls>
          <c:showLegendKey val="0"/>
          <c:showVal val="0"/>
          <c:showCatName val="0"/>
          <c:showSerName val="0"/>
          <c:showPercent val="0"/>
          <c:showBubbleSize val="0"/>
        </c:dLbls>
        <c:gapWidth val="80"/>
        <c:axId val="282297856"/>
        <c:axId val="282299392"/>
      </c:barChart>
      <c:catAx>
        <c:axId val="28229785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2299392"/>
        <c:crosses val="autoZero"/>
        <c:auto val="1"/>
        <c:lblAlgn val="ctr"/>
        <c:lblOffset val="100"/>
        <c:tickLblSkip val="1"/>
        <c:noMultiLvlLbl val="0"/>
      </c:catAx>
      <c:valAx>
        <c:axId val="28229939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229785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了解了什么是大学生创业</c:v>
                </c:pt>
                <c:pt idx="1">
                  <c:v>启发了我的创业意识</c:v>
                </c:pt>
                <c:pt idx="2">
                  <c:v>激发了我的创业热情</c:v>
                </c:pt>
                <c:pt idx="3">
                  <c:v>明确了我的创业计划</c:v>
                </c:pt>
                <c:pt idx="4">
                  <c:v>了解了相关创业政策</c:v>
                </c:pt>
                <c:pt idx="5">
                  <c:v>没有任何收获</c:v>
                </c:pt>
              </c:strCache>
            </c:strRef>
          </c:cat>
          <c:val>
            <c:numRef>
              <c:f>Sheet1!$B$2:$B$7</c:f>
              <c:numCache>
                <c:formatCode>0.0%</c:formatCode>
                <c:ptCount val="6"/>
                <c:pt idx="0">
                  <c:v>0.258</c:v>
                </c:pt>
                <c:pt idx="1">
                  <c:v>0.161</c:v>
                </c:pt>
                <c:pt idx="2">
                  <c:v>0.194</c:v>
                </c:pt>
                <c:pt idx="3">
                  <c:v>0.032</c:v>
                </c:pt>
                <c:pt idx="4">
                  <c:v>0.29</c:v>
                </c:pt>
                <c:pt idx="5">
                  <c:v>0.065</c:v>
                </c:pt>
              </c:numCache>
            </c:numRef>
          </c:val>
        </c:ser>
        <c:dLbls>
          <c:showLegendKey val="0"/>
          <c:showVal val="0"/>
          <c:showCatName val="0"/>
          <c:showSerName val="0"/>
          <c:showPercent val="0"/>
          <c:showBubbleSize val="0"/>
        </c:dLbls>
        <c:gapWidth val="80"/>
        <c:axId val="294333440"/>
        <c:axId val="294335232"/>
      </c:barChart>
      <c:catAx>
        <c:axId val="2943334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335232"/>
        <c:crosses val="autoZero"/>
        <c:auto val="1"/>
        <c:lblAlgn val="ctr"/>
        <c:lblOffset val="100"/>
        <c:tickLblSkip val="1"/>
        <c:noMultiLvlLbl val="0"/>
      </c:catAx>
      <c:valAx>
        <c:axId val="29433523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3334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很满意</c:v>
                </c:pt>
                <c:pt idx="1">
                  <c:v>满意</c:v>
                </c:pt>
                <c:pt idx="2">
                  <c:v>不好说</c:v>
                </c:pt>
              </c:strCache>
            </c:strRef>
          </c:cat>
          <c:val>
            <c:numRef>
              <c:f>Sheet1!$B$2:$B$4</c:f>
              <c:numCache>
                <c:formatCode>0.0%</c:formatCode>
                <c:ptCount val="3"/>
                <c:pt idx="0">
                  <c:v>0.188</c:v>
                </c:pt>
                <c:pt idx="1">
                  <c:v>0.563</c:v>
                </c:pt>
                <c:pt idx="2">
                  <c:v>0.25</c:v>
                </c:pt>
              </c:numCache>
            </c:numRef>
          </c:val>
        </c:ser>
        <c:dLbls>
          <c:showLegendKey val="0"/>
          <c:showVal val="0"/>
          <c:showCatName val="0"/>
          <c:showSerName val="0"/>
          <c:showPercent val="0"/>
          <c:showBubbleSize val="0"/>
        </c:dLbls>
        <c:gapWidth val="80"/>
        <c:axId val="291762944"/>
        <c:axId val="291764480"/>
      </c:barChart>
      <c:catAx>
        <c:axId val="2917629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764480"/>
        <c:crosses val="autoZero"/>
        <c:auto val="1"/>
        <c:lblAlgn val="ctr"/>
        <c:lblOffset val="100"/>
        <c:tickLblSkip val="1"/>
        <c:noMultiLvlLbl val="0"/>
      </c:catAx>
      <c:valAx>
        <c:axId val="2917644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7629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89"/>
          <c:h val="0.761775513354951"/>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机关</c:v>
                </c:pt>
                <c:pt idx="1">
                  <c:v>事业单位</c:v>
                </c:pt>
                <c:pt idx="2">
                  <c:v>民营/私营企业</c:v>
                </c:pt>
                <c:pt idx="3">
                  <c:v>其他</c:v>
                </c:pt>
              </c:strCache>
            </c:strRef>
          </c:cat>
          <c:val>
            <c:numRef>
              <c:f>Sheet1!$B$2:$B$5</c:f>
              <c:numCache>
                <c:formatCode>0.0%</c:formatCode>
                <c:ptCount val="4"/>
                <c:pt idx="0">
                  <c:v>0.125</c:v>
                </c:pt>
                <c:pt idx="1">
                  <c:v>0.188</c:v>
                </c:pt>
                <c:pt idx="2">
                  <c:v>0.063</c:v>
                </c:pt>
                <c:pt idx="3">
                  <c:v>0.625000000000001</c:v>
                </c:pt>
              </c:numCache>
            </c:numRef>
          </c:val>
        </c:ser>
        <c:ser>
          <c:idx val="1"/>
          <c:order val="1"/>
          <c:tx>
            <c:strRef>
              <c:f>Sheet1!$C$1</c:f>
              <c:strCache>
                <c:ptCount val="1"/>
                <c:pt idx="0">
                  <c:v>最终落实</c:v>
                </c:pt>
              </c:strCache>
            </c:strRef>
          </c:tx>
          <c:invertIfNegative val="0"/>
          <c:dLbls>
            <c:dLbl>
              <c:idx val="1"/>
              <c:layout>
                <c:manualLayout>
                  <c:x val="-4.2437781360067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机关</c:v>
                </c:pt>
                <c:pt idx="1">
                  <c:v>事业单位</c:v>
                </c:pt>
                <c:pt idx="2">
                  <c:v>民营/私营企业</c:v>
                </c:pt>
                <c:pt idx="3">
                  <c:v>其他</c:v>
                </c:pt>
              </c:strCache>
            </c:strRef>
          </c:cat>
          <c:val>
            <c:numRef>
              <c:f>Sheet1!$C$2:$C$5</c:f>
              <c:numCache>
                <c:formatCode>0.0%</c:formatCode>
                <c:ptCount val="4"/>
                <c:pt idx="0">
                  <c:v>0</c:v>
                </c:pt>
                <c:pt idx="1">
                  <c:v>0.25</c:v>
                </c:pt>
                <c:pt idx="2">
                  <c:v>0.063</c:v>
                </c:pt>
                <c:pt idx="3">
                  <c:v>0.688</c:v>
                </c:pt>
              </c:numCache>
            </c:numRef>
          </c:val>
        </c:ser>
        <c:dLbls>
          <c:showLegendKey val="0"/>
          <c:showVal val="0"/>
          <c:showCatName val="0"/>
          <c:showSerName val="0"/>
          <c:showPercent val="0"/>
          <c:showBubbleSize val="0"/>
        </c:dLbls>
        <c:gapWidth val="80"/>
        <c:axId val="294449536"/>
        <c:axId val="294451072"/>
      </c:barChart>
      <c:catAx>
        <c:axId val="294449536"/>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51072"/>
        <c:crosses val="autoZero"/>
        <c:auto val="1"/>
        <c:lblAlgn val="ctr"/>
        <c:lblOffset val="100"/>
        <c:tickLblSkip val="1"/>
        <c:noMultiLvlLbl val="0"/>
      </c:catAx>
      <c:valAx>
        <c:axId val="294451072"/>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49536"/>
        <c:crosses val="autoZero"/>
        <c:crossBetween val="between"/>
      </c:valAx>
      <c:spPr>
        <a:solidFill>
          <a:schemeClr val="bg1"/>
        </a:solidFill>
        <a:ln>
          <a:noFill/>
        </a:ln>
        <a:effectLst/>
      </c:spPr>
    </c:plotArea>
    <c:legend>
      <c:legendPos val="r"/>
      <c:layout>
        <c:manualLayout>
          <c:xMode val="edge"/>
          <c:yMode val="edge"/>
          <c:x val="0.83311314592463"/>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89"/>
          <c:h val="0.761775513354951"/>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采矿/建筑/水电气业</c:v>
                </c:pt>
                <c:pt idx="1">
                  <c:v>金融地产业</c:v>
                </c:pt>
                <c:pt idx="2">
                  <c:v>教育及科研行业</c:v>
                </c:pt>
                <c:pt idx="3">
                  <c:v>文化、体育和娱乐业</c:v>
                </c:pt>
                <c:pt idx="4">
                  <c:v>其他行业</c:v>
                </c:pt>
              </c:strCache>
            </c:strRef>
          </c:cat>
          <c:val>
            <c:numRef>
              <c:f>Sheet1!$B$2:$B$6</c:f>
              <c:numCache>
                <c:formatCode>0.0%</c:formatCode>
                <c:ptCount val="5"/>
                <c:pt idx="0">
                  <c:v>0</c:v>
                </c:pt>
                <c:pt idx="1">
                  <c:v>0.063</c:v>
                </c:pt>
                <c:pt idx="2">
                  <c:v>0.063</c:v>
                </c:pt>
                <c:pt idx="3">
                  <c:v>0.813</c:v>
                </c:pt>
                <c:pt idx="4">
                  <c:v>0.063</c:v>
                </c:pt>
              </c:numCache>
            </c:numRef>
          </c:val>
        </c:ser>
        <c:ser>
          <c:idx val="1"/>
          <c:order val="1"/>
          <c:tx>
            <c:strRef>
              <c:f>Sheet1!$C$1</c:f>
              <c:strCache>
                <c:ptCount val="1"/>
                <c:pt idx="0">
                  <c:v>最终落实</c:v>
                </c:pt>
              </c:strCache>
            </c:strRef>
          </c:tx>
          <c:invertIfNegative val="0"/>
          <c:dLbls>
            <c:dLbl>
              <c:idx val="1"/>
              <c:layout>
                <c:manualLayout>
                  <c:x val="-4.2437781360067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采矿/建筑/水电气业</c:v>
                </c:pt>
                <c:pt idx="1">
                  <c:v>金融地产业</c:v>
                </c:pt>
                <c:pt idx="2">
                  <c:v>教育及科研行业</c:v>
                </c:pt>
                <c:pt idx="3">
                  <c:v>文化、体育和娱乐业</c:v>
                </c:pt>
                <c:pt idx="4">
                  <c:v>其他行业</c:v>
                </c:pt>
              </c:strCache>
            </c:strRef>
          </c:cat>
          <c:val>
            <c:numRef>
              <c:f>Sheet1!$C$2:$C$6</c:f>
              <c:numCache>
                <c:formatCode>0.0%</c:formatCode>
                <c:ptCount val="5"/>
                <c:pt idx="0">
                  <c:v>0.063</c:v>
                </c:pt>
                <c:pt idx="1">
                  <c:v>0</c:v>
                </c:pt>
                <c:pt idx="2">
                  <c:v>0.063</c:v>
                </c:pt>
                <c:pt idx="3">
                  <c:v>0.750000000000001</c:v>
                </c:pt>
                <c:pt idx="4">
                  <c:v>0.125</c:v>
                </c:pt>
              </c:numCache>
            </c:numRef>
          </c:val>
        </c:ser>
        <c:dLbls>
          <c:showLegendKey val="0"/>
          <c:showVal val="0"/>
          <c:showCatName val="0"/>
          <c:showSerName val="0"/>
          <c:showPercent val="0"/>
          <c:showBubbleSize val="0"/>
        </c:dLbls>
        <c:gapWidth val="80"/>
        <c:axId val="294416768"/>
        <c:axId val="294418304"/>
      </c:barChart>
      <c:catAx>
        <c:axId val="294416768"/>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18304"/>
        <c:crosses val="autoZero"/>
        <c:auto val="1"/>
        <c:lblAlgn val="ctr"/>
        <c:lblOffset val="100"/>
        <c:tickLblSkip val="1"/>
        <c:noMultiLvlLbl val="0"/>
      </c:catAx>
      <c:valAx>
        <c:axId val="294418304"/>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16768"/>
        <c:crosses val="autoZero"/>
        <c:crossBetween val="between"/>
      </c:valAx>
      <c:spPr>
        <a:solidFill>
          <a:schemeClr val="bg1"/>
        </a:solidFill>
        <a:ln>
          <a:noFill/>
        </a:ln>
        <a:effectLst/>
      </c:spPr>
    </c:plotArea>
    <c:legend>
      <c:legendPos val="r"/>
      <c:layout>
        <c:manualLayout>
          <c:xMode val="edge"/>
          <c:yMode val="edge"/>
          <c:x val="0.83311314592463"/>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期望年薪</c:v>
                </c:pt>
                <c:pt idx="1">
                  <c:v>最终落实</c:v>
                </c:pt>
              </c:strCache>
            </c:strRef>
          </c:cat>
          <c:val>
            <c:numRef>
              <c:f>Sheet1!$B$2:$B$3</c:f>
              <c:numCache>
                <c:formatCode>0.0_);[Red]\(0.0\)</c:formatCode>
                <c:ptCount val="2"/>
                <c:pt idx="0">
                  <c:v>11.85</c:v>
                </c:pt>
                <c:pt idx="1">
                  <c:v>14.78</c:v>
                </c:pt>
              </c:numCache>
            </c:numRef>
          </c:val>
        </c:ser>
        <c:dLbls>
          <c:showLegendKey val="0"/>
          <c:showVal val="0"/>
          <c:showCatName val="0"/>
          <c:showSerName val="0"/>
          <c:showPercent val="0"/>
          <c:showBubbleSize val="0"/>
        </c:dLbls>
        <c:gapWidth val="80"/>
        <c:axId val="281835776"/>
        <c:axId val="294490112"/>
      </c:barChart>
      <c:catAx>
        <c:axId val="2818357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90112"/>
        <c:crosses val="autoZero"/>
        <c:auto val="1"/>
        <c:lblAlgn val="ctr"/>
        <c:lblOffset val="100"/>
        <c:tickLblSkip val="1"/>
        <c:noMultiLvlLbl val="0"/>
      </c:catAx>
      <c:valAx>
        <c:axId val="29449011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8357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有五险</c:v>
                </c:pt>
                <c:pt idx="1">
                  <c:v>没有五险</c:v>
                </c:pt>
              </c:strCache>
            </c:strRef>
          </c:cat>
          <c:val>
            <c:numRef>
              <c:f>Sheet1!$B$2:$B$3</c:f>
              <c:numCache>
                <c:formatCode>0.0%</c:formatCode>
                <c:ptCount val="2"/>
                <c:pt idx="0">
                  <c:v>0.188</c:v>
                </c:pt>
                <c:pt idx="1">
                  <c:v>0.813</c:v>
                </c:pt>
              </c:numCache>
            </c:numRef>
          </c:val>
        </c:ser>
        <c:dLbls>
          <c:showLegendKey val="0"/>
          <c:showVal val="0"/>
          <c:showCatName val="0"/>
          <c:showSerName val="0"/>
          <c:showPercent val="0"/>
          <c:showBubbleSize val="0"/>
        </c:dLbls>
        <c:gapWidth val="80"/>
        <c:axId val="295895040"/>
        <c:axId val="295896576"/>
      </c:barChart>
      <c:catAx>
        <c:axId val="2958950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5896576"/>
        <c:crosses val="autoZero"/>
        <c:auto val="1"/>
        <c:lblAlgn val="ctr"/>
        <c:lblOffset val="100"/>
        <c:tickLblSkip val="1"/>
        <c:noMultiLvlLbl val="0"/>
      </c:catAx>
      <c:valAx>
        <c:axId val="2958965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58950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有</c:v>
                </c:pt>
                <c:pt idx="1">
                  <c:v>没有</c:v>
                </c:pt>
              </c:strCache>
            </c:strRef>
          </c:cat>
          <c:val>
            <c:numRef>
              <c:f>Sheet1!$B$2:$B$3</c:f>
              <c:numCache>
                <c:formatCode>0.0%</c:formatCode>
                <c:ptCount val="2"/>
                <c:pt idx="0">
                  <c:v>0.188</c:v>
                </c:pt>
                <c:pt idx="1">
                  <c:v>0.813</c:v>
                </c:pt>
              </c:numCache>
            </c:numRef>
          </c:val>
        </c:ser>
        <c:dLbls>
          <c:showLegendKey val="0"/>
          <c:showVal val="0"/>
          <c:showCatName val="0"/>
          <c:showSerName val="0"/>
          <c:showPercent val="0"/>
          <c:showBubbleSize val="0"/>
        </c:dLbls>
        <c:gapWidth val="80"/>
        <c:axId val="294512128"/>
        <c:axId val="294513664"/>
      </c:barChart>
      <c:catAx>
        <c:axId val="2945121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513664"/>
        <c:crosses val="autoZero"/>
        <c:auto val="1"/>
        <c:lblAlgn val="ctr"/>
        <c:lblOffset val="100"/>
        <c:tickLblSkip val="1"/>
        <c:noMultiLvlLbl val="0"/>
      </c:catAx>
      <c:valAx>
        <c:axId val="2945136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5121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有好的创业点子想实践</c:v>
                </c:pt>
                <c:pt idx="1">
                  <c:v>个人理想</c:v>
                </c:pt>
                <c:pt idx="2">
                  <c:v>受他人邀请合伙创业</c:v>
                </c:pt>
                <c:pt idx="3">
                  <c:v>受到政策号召或环境影响</c:v>
                </c:pt>
                <c:pt idx="4">
                  <c:v>期待有较高收入</c:v>
                </c:pt>
                <c:pt idx="5">
                  <c:v>未找到合适的工作</c:v>
                </c:pt>
              </c:strCache>
            </c:strRef>
          </c:cat>
          <c:val>
            <c:numRef>
              <c:f>Sheet1!$B$2:$B$7</c:f>
              <c:numCache>
                <c:formatCode>0.0%</c:formatCode>
                <c:ptCount val="6"/>
                <c:pt idx="0">
                  <c:v>0.313000000000001</c:v>
                </c:pt>
                <c:pt idx="1">
                  <c:v>0.25</c:v>
                </c:pt>
                <c:pt idx="2">
                  <c:v>0.188</c:v>
                </c:pt>
                <c:pt idx="3">
                  <c:v>0.125</c:v>
                </c:pt>
                <c:pt idx="4">
                  <c:v>0.063</c:v>
                </c:pt>
                <c:pt idx="5">
                  <c:v>0.063</c:v>
                </c:pt>
              </c:numCache>
            </c:numRef>
          </c:val>
        </c:ser>
        <c:dLbls>
          <c:showLegendKey val="0"/>
          <c:showVal val="0"/>
          <c:showCatName val="0"/>
          <c:showSerName val="0"/>
          <c:showPercent val="0"/>
          <c:showBubbleSize val="0"/>
        </c:dLbls>
        <c:gapWidth val="80"/>
        <c:axId val="91439104"/>
        <c:axId val="91440640"/>
      </c:barChart>
      <c:catAx>
        <c:axId val="9143910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1440640"/>
        <c:crosses val="autoZero"/>
        <c:auto val="1"/>
        <c:lblAlgn val="ctr"/>
        <c:lblOffset val="100"/>
        <c:tickLblSkip val="1"/>
        <c:noMultiLvlLbl val="0"/>
      </c:catAx>
      <c:valAx>
        <c:axId val="9144064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143910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很大</c:v>
                </c:pt>
                <c:pt idx="1">
                  <c:v>大</c:v>
                </c:pt>
                <c:pt idx="2">
                  <c:v>不好说</c:v>
                </c:pt>
              </c:strCache>
            </c:strRef>
          </c:cat>
          <c:val>
            <c:numRef>
              <c:f>Sheet1!$B$2:$B$4</c:f>
              <c:numCache>
                <c:formatCode>0.0%</c:formatCode>
                <c:ptCount val="3"/>
                <c:pt idx="0">
                  <c:v>0.25</c:v>
                </c:pt>
                <c:pt idx="1">
                  <c:v>0.375000000000001</c:v>
                </c:pt>
                <c:pt idx="2">
                  <c:v>0.375000000000001</c:v>
                </c:pt>
              </c:numCache>
            </c:numRef>
          </c:val>
        </c:ser>
        <c:dLbls>
          <c:showLegendKey val="0"/>
          <c:showVal val="0"/>
          <c:showCatName val="0"/>
          <c:showSerName val="0"/>
          <c:showPercent val="0"/>
          <c:showBubbleSize val="0"/>
        </c:dLbls>
        <c:gapWidth val="80"/>
        <c:axId val="294407168"/>
        <c:axId val="295949056"/>
      </c:barChart>
      <c:catAx>
        <c:axId val="2944071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5949056"/>
        <c:crosses val="autoZero"/>
        <c:auto val="1"/>
        <c:lblAlgn val="ctr"/>
        <c:lblOffset val="100"/>
        <c:tickLblSkip val="1"/>
        <c:noMultiLvlLbl val="0"/>
      </c:catAx>
      <c:valAx>
        <c:axId val="2959490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071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很清晰</c:v>
                </c:pt>
                <c:pt idx="1">
                  <c:v>清晰</c:v>
                </c:pt>
                <c:pt idx="2">
                  <c:v>不好说</c:v>
                </c:pt>
              </c:strCache>
            </c:strRef>
          </c:cat>
          <c:val>
            <c:numRef>
              <c:f>Sheet1!$B$2:$B$4</c:f>
              <c:numCache>
                <c:formatCode>0.0%</c:formatCode>
                <c:ptCount val="3"/>
                <c:pt idx="0">
                  <c:v>0.25</c:v>
                </c:pt>
                <c:pt idx="1">
                  <c:v>0.438000000000001</c:v>
                </c:pt>
                <c:pt idx="2">
                  <c:v>0.313000000000001</c:v>
                </c:pt>
              </c:numCache>
            </c:numRef>
          </c:val>
        </c:ser>
        <c:dLbls>
          <c:showLegendKey val="0"/>
          <c:showVal val="0"/>
          <c:showCatName val="0"/>
          <c:showSerName val="0"/>
          <c:showPercent val="0"/>
          <c:showBubbleSize val="0"/>
        </c:dLbls>
        <c:gapWidth val="80"/>
        <c:axId val="296055552"/>
        <c:axId val="296057088"/>
      </c:barChart>
      <c:catAx>
        <c:axId val="29605555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057088"/>
        <c:crosses val="autoZero"/>
        <c:auto val="1"/>
        <c:lblAlgn val="ctr"/>
        <c:lblOffset val="100"/>
        <c:tickLblSkip val="1"/>
        <c:noMultiLvlLbl val="0"/>
      </c:catAx>
      <c:valAx>
        <c:axId val="29605708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05555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1年以内</c:v>
                </c:pt>
                <c:pt idx="1">
                  <c:v>1～3年</c:v>
                </c:pt>
                <c:pt idx="2">
                  <c:v>3～5年</c:v>
                </c:pt>
                <c:pt idx="3">
                  <c:v>5年及以上</c:v>
                </c:pt>
              </c:strCache>
            </c:strRef>
          </c:cat>
          <c:val>
            <c:numRef>
              <c:f>Sheet1!$B$2:$B$5</c:f>
              <c:numCache>
                <c:formatCode>0.0%</c:formatCode>
                <c:ptCount val="4"/>
                <c:pt idx="0">
                  <c:v>0.25</c:v>
                </c:pt>
                <c:pt idx="1">
                  <c:v>0.5</c:v>
                </c:pt>
                <c:pt idx="2">
                  <c:v>0.063</c:v>
                </c:pt>
                <c:pt idx="3">
                  <c:v>0.188</c:v>
                </c:pt>
              </c:numCache>
            </c:numRef>
          </c:val>
        </c:ser>
        <c:dLbls>
          <c:showLegendKey val="0"/>
          <c:showVal val="0"/>
          <c:showCatName val="0"/>
          <c:showSerName val="0"/>
          <c:showPercent val="0"/>
          <c:showBubbleSize val="0"/>
        </c:dLbls>
        <c:gapWidth val="80"/>
        <c:axId val="294635776"/>
        <c:axId val="296030208"/>
      </c:barChart>
      <c:catAx>
        <c:axId val="2946357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030208"/>
        <c:crosses val="autoZero"/>
        <c:auto val="1"/>
        <c:lblAlgn val="ctr"/>
        <c:lblOffset val="100"/>
        <c:tickLblSkip val="1"/>
        <c:noMultiLvlLbl val="0"/>
      </c:catAx>
      <c:valAx>
        <c:axId val="29603020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6357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很相关</c:v>
                </c:pt>
                <c:pt idx="1">
                  <c:v>相关</c:v>
                </c:pt>
                <c:pt idx="2">
                  <c:v>不好说</c:v>
                </c:pt>
              </c:strCache>
            </c:strRef>
          </c:cat>
          <c:val>
            <c:numRef>
              <c:f>Sheet1!$B$2:$B$4</c:f>
              <c:numCache>
                <c:formatCode>0.0%</c:formatCode>
                <c:ptCount val="3"/>
                <c:pt idx="0">
                  <c:v>0.313000000000001</c:v>
                </c:pt>
                <c:pt idx="1">
                  <c:v>0.5</c:v>
                </c:pt>
                <c:pt idx="2">
                  <c:v>0.188</c:v>
                </c:pt>
              </c:numCache>
            </c:numRef>
          </c:val>
        </c:ser>
        <c:dLbls>
          <c:showLegendKey val="0"/>
          <c:showVal val="0"/>
          <c:showCatName val="0"/>
          <c:showSerName val="0"/>
          <c:showPercent val="0"/>
          <c:showBubbleSize val="0"/>
        </c:dLbls>
        <c:gapWidth val="80"/>
        <c:axId val="296226816"/>
        <c:axId val="296228352"/>
      </c:barChart>
      <c:catAx>
        <c:axId val="29622681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228352"/>
        <c:crosses val="autoZero"/>
        <c:auto val="1"/>
        <c:lblAlgn val="ctr"/>
        <c:lblOffset val="100"/>
        <c:tickLblSkip val="1"/>
        <c:noMultiLvlLbl val="0"/>
      </c:catAx>
      <c:valAx>
        <c:axId val="29622835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22681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高于岗位要求</c:v>
                </c:pt>
                <c:pt idx="1">
                  <c:v>恰好满足岗位要求</c:v>
                </c:pt>
                <c:pt idx="2">
                  <c:v>低于岗位要求</c:v>
                </c:pt>
              </c:strCache>
            </c:strRef>
          </c:cat>
          <c:val>
            <c:numRef>
              <c:f>Sheet1!$B$2:$B$4</c:f>
              <c:numCache>
                <c:formatCode>0.0%</c:formatCode>
                <c:ptCount val="3"/>
                <c:pt idx="0">
                  <c:v>0.188</c:v>
                </c:pt>
                <c:pt idx="1">
                  <c:v>0.750000000000001</c:v>
                </c:pt>
                <c:pt idx="2">
                  <c:v>0.063</c:v>
                </c:pt>
              </c:numCache>
            </c:numRef>
          </c:val>
        </c:ser>
        <c:dLbls>
          <c:showLegendKey val="0"/>
          <c:showVal val="0"/>
          <c:showCatName val="0"/>
          <c:showSerName val="0"/>
          <c:showPercent val="0"/>
          <c:showBubbleSize val="0"/>
        </c:dLbls>
        <c:gapWidth val="80"/>
        <c:axId val="296371712"/>
        <c:axId val="296373248"/>
      </c:barChart>
      <c:catAx>
        <c:axId val="29637171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373248"/>
        <c:crosses val="autoZero"/>
        <c:auto val="1"/>
        <c:lblAlgn val="ctr"/>
        <c:lblOffset val="100"/>
        <c:tickLblSkip val="1"/>
        <c:noMultiLvlLbl val="0"/>
      </c:catAx>
      <c:valAx>
        <c:axId val="29637324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37171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很相符</c:v>
                </c:pt>
                <c:pt idx="1">
                  <c:v>相符</c:v>
                </c:pt>
                <c:pt idx="2">
                  <c:v>不好说</c:v>
                </c:pt>
                <c:pt idx="3">
                  <c:v>不相符</c:v>
                </c:pt>
              </c:strCache>
            </c:strRef>
          </c:cat>
          <c:val>
            <c:numRef>
              <c:f>Sheet1!$B$2:$B$5</c:f>
              <c:numCache>
                <c:formatCode>0.0%</c:formatCode>
                <c:ptCount val="4"/>
                <c:pt idx="0">
                  <c:v>0.125</c:v>
                </c:pt>
                <c:pt idx="1">
                  <c:v>0.313000000000001</c:v>
                </c:pt>
                <c:pt idx="2">
                  <c:v>0.438000000000001</c:v>
                </c:pt>
                <c:pt idx="3">
                  <c:v>0.125</c:v>
                </c:pt>
              </c:numCache>
            </c:numRef>
          </c:val>
        </c:ser>
        <c:dLbls>
          <c:showLegendKey val="0"/>
          <c:showVal val="0"/>
          <c:showCatName val="0"/>
          <c:showSerName val="0"/>
          <c:showPercent val="0"/>
          <c:showBubbleSize val="0"/>
        </c:dLbls>
        <c:gapWidth val="80"/>
        <c:axId val="294489088"/>
        <c:axId val="296133376"/>
      </c:barChart>
      <c:catAx>
        <c:axId val="2944890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6133376"/>
        <c:crosses val="autoZero"/>
        <c:auto val="1"/>
        <c:lblAlgn val="ctr"/>
        <c:lblOffset val="100"/>
        <c:tickLblSkip val="1"/>
        <c:noMultiLvlLbl val="0"/>
      </c:catAx>
      <c:valAx>
        <c:axId val="2961333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44890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很积极</c:v>
                </c:pt>
                <c:pt idx="1">
                  <c:v>积极</c:v>
                </c:pt>
                <c:pt idx="2">
                  <c:v>不好说</c:v>
                </c:pt>
                <c:pt idx="3">
                  <c:v>很不积极</c:v>
                </c:pt>
              </c:strCache>
            </c:strRef>
          </c:cat>
          <c:val>
            <c:numRef>
              <c:f>Sheet1!$B$2:$B$5</c:f>
              <c:numCache>
                <c:formatCode>0.0%</c:formatCode>
                <c:ptCount val="4"/>
                <c:pt idx="0">
                  <c:v>0.25</c:v>
                </c:pt>
                <c:pt idx="1">
                  <c:v>0.438000000000001</c:v>
                </c:pt>
                <c:pt idx="2">
                  <c:v>0.25</c:v>
                </c:pt>
                <c:pt idx="3">
                  <c:v>0.063</c:v>
                </c:pt>
              </c:numCache>
            </c:numRef>
          </c:val>
        </c:ser>
        <c:dLbls>
          <c:showLegendKey val="0"/>
          <c:showVal val="0"/>
          <c:showCatName val="0"/>
          <c:showSerName val="0"/>
          <c:showPercent val="0"/>
          <c:showBubbleSize val="0"/>
        </c:dLbls>
        <c:gapWidth val="80"/>
        <c:axId val="324281088"/>
        <c:axId val="324282624"/>
      </c:barChart>
      <c:catAx>
        <c:axId val="3242810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282624"/>
        <c:crosses val="autoZero"/>
        <c:auto val="1"/>
        <c:lblAlgn val="ctr"/>
        <c:lblOffset val="100"/>
        <c:tickLblSkip val="1"/>
        <c:noMultiLvlLbl val="0"/>
      </c:catAx>
      <c:valAx>
        <c:axId val="3242826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2810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投递简历</c:v>
                </c:pt>
                <c:pt idx="1">
                  <c:v>收到面试邀请</c:v>
                </c:pt>
                <c:pt idx="2">
                  <c:v>收到录取通知</c:v>
                </c:pt>
              </c:strCache>
            </c:strRef>
          </c:cat>
          <c:val>
            <c:numRef>
              <c:f>Sheet1!$B$2:$B$4</c:f>
              <c:numCache>
                <c:formatCode>0.0_);[Red]\(0.0\)</c:formatCode>
                <c:ptCount val="3"/>
                <c:pt idx="0">
                  <c:v>14.08</c:v>
                </c:pt>
                <c:pt idx="1">
                  <c:v>5.29</c:v>
                </c:pt>
                <c:pt idx="2">
                  <c:v>2.23</c:v>
                </c:pt>
              </c:numCache>
            </c:numRef>
          </c:val>
        </c:ser>
        <c:dLbls>
          <c:showLegendKey val="0"/>
          <c:showVal val="0"/>
          <c:showCatName val="0"/>
          <c:showSerName val="0"/>
          <c:showPercent val="0"/>
          <c:showBubbleSize val="0"/>
        </c:dLbls>
        <c:gapWidth val="80"/>
        <c:axId val="324266240"/>
        <c:axId val="324329472"/>
      </c:barChart>
      <c:catAx>
        <c:axId val="3242662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329472"/>
        <c:crosses val="autoZero"/>
        <c:auto val="1"/>
        <c:lblAlgn val="ctr"/>
        <c:lblOffset val="100"/>
        <c:tickLblSkip val="1"/>
        <c:noMultiLvlLbl val="0"/>
      </c:catAx>
      <c:valAx>
        <c:axId val="32432947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2662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学校组织的招聘会</c:v>
                </c:pt>
                <c:pt idx="1">
                  <c:v>学校发布的招聘信息</c:v>
                </c:pt>
                <c:pt idx="2">
                  <c:v>老师推荐</c:v>
                </c:pt>
                <c:pt idx="3">
                  <c:v>校友资源</c:v>
                </c:pt>
                <c:pt idx="4">
                  <c:v>其他校园渠道</c:v>
                </c:pt>
                <c:pt idx="5">
                  <c:v>社会渠道</c:v>
                </c:pt>
                <c:pt idx="6">
                  <c:v>用人单位自设渠道</c:v>
                </c:pt>
                <c:pt idx="7">
                  <c:v>亲友渠道</c:v>
                </c:pt>
              </c:strCache>
            </c:strRef>
          </c:cat>
          <c:val>
            <c:numRef>
              <c:f>Sheet1!$B$2:$B$9</c:f>
              <c:numCache>
                <c:formatCode>0.0%</c:formatCode>
                <c:ptCount val="8"/>
                <c:pt idx="0">
                  <c:v>0.25</c:v>
                </c:pt>
                <c:pt idx="1">
                  <c:v>0.125</c:v>
                </c:pt>
                <c:pt idx="2">
                  <c:v>0.375000000000001</c:v>
                </c:pt>
                <c:pt idx="3">
                  <c:v>0.563</c:v>
                </c:pt>
                <c:pt idx="4">
                  <c:v>0.063</c:v>
                </c:pt>
                <c:pt idx="5">
                  <c:v>0.125</c:v>
                </c:pt>
                <c:pt idx="6">
                  <c:v>0.25</c:v>
                </c:pt>
                <c:pt idx="7">
                  <c:v>0.313000000000001</c:v>
                </c:pt>
              </c:numCache>
            </c:numRef>
          </c:val>
        </c:ser>
        <c:dLbls>
          <c:showLegendKey val="0"/>
          <c:showVal val="0"/>
          <c:showCatName val="0"/>
          <c:showSerName val="0"/>
          <c:showPercent val="0"/>
          <c:showBubbleSize val="0"/>
        </c:dLbls>
        <c:gapWidth val="80"/>
        <c:axId val="324210688"/>
        <c:axId val="324212224"/>
      </c:barChart>
      <c:catAx>
        <c:axId val="3242106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212224"/>
        <c:crosses val="autoZero"/>
        <c:auto val="1"/>
        <c:lblAlgn val="ctr"/>
        <c:lblOffset val="100"/>
        <c:tickLblSkip val="1"/>
        <c:noMultiLvlLbl val="0"/>
      </c:catAx>
      <c:valAx>
        <c:axId val="3242122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42106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自主选择</c:v>
                </c:pt>
                <c:pt idx="1">
                  <c:v>父母意见</c:v>
                </c:pt>
                <c:pt idx="2">
                  <c:v>他人推荐（除父母外）</c:v>
                </c:pt>
                <c:pt idx="3">
                  <c:v>专业调剂</c:v>
                </c:pt>
                <c:pt idx="4">
                  <c:v>其他</c:v>
                </c:pt>
              </c:strCache>
            </c:strRef>
          </c:cat>
          <c:val>
            <c:numRef>
              <c:f>Sheet1!$B$2:$B$6</c:f>
              <c:numCache>
                <c:formatCode>0.0%</c:formatCode>
                <c:ptCount val="5"/>
                <c:pt idx="0">
                  <c:v>0.903</c:v>
                </c:pt>
                <c:pt idx="1">
                  <c:v>0.0310000000000001</c:v>
                </c:pt>
                <c:pt idx="2">
                  <c:v>0.044</c:v>
                </c:pt>
                <c:pt idx="3">
                  <c:v>0.013</c:v>
                </c:pt>
                <c:pt idx="4">
                  <c:v>0.009</c:v>
                </c:pt>
              </c:numCache>
            </c:numRef>
          </c:val>
        </c:ser>
        <c:dLbls>
          <c:showLegendKey val="0"/>
          <c:showVal val="0"/>
          <c:showCatName val="0"/>
          <c:showSerName val="0"/>
          <c:showPercent val="0"/>
          <c:showBubbleSize val="0"/>
        </c:dLbls>
        <c:gapWidth val="80"/>
        <c:axId val="384407040"/>
        <c:axId val="384408576"/>
      </c:barChart>
      <c:catAx>
        <c:axId val="3844070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408576"/>
        <c:crosses val="autoZero"/>
        <c:auto val="1"/>
        <c:lblAlgn val="ctr"/>
        <c:lblOffset val="100"/>
        <c:tickLblSkip val="1"/>
        <c:noMultiLvlLbl val="0"/>
      </c:catAx>
      <c:valAx>
        <c:axId val="3844085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4070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北京创业</c:v>
                </c:pt>
                <c:pt idx="1">
                  <c:v>东部创业</c:v>
                </c:pt>
              </c:strCache>
            </c:strRef>
          </c:cat>
          <c:val>
            <c:numRef>
              <c:f>Sheet1!$B$2:$B$3</c:f>
              <c:numCache>
                <c:formatCode>0.0%</c:formatCode>
                <c:ptCount val="2"/>
                <c:pt idx="0">
                  <c:v>0.938</c:v>
                </c:pt>
                <c:pt idx="1">
                  <c:v>0.063</c:v>
                </c:pt>
              </c:numCache>
            </c:numRef>
          </c:val>
        </c:ser>
        <c:dLbls>
          <c:showLegendKey val="0"/>
          <c:showVal val="0"/>
          <c:showCatName val="0"/>
          <c:showSerName val="0"/>
          <c:showPercent val="0"/>
          <c:showBubbleSize val="0"/>
        </c:dLbls>
        <c:gapWidth val="80"/>
        <c:axId val="96736768"/>
        <c:axId val="96738304"/>
      </c:barChart>
      <c:catAx>
        <c:axId val="967367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738304"/>
        <c:crosses val="autoZero"/>
        <c:auto val="1"/>
        <c:lblAlgn val="ctr"/>
        <c:lblOffset val="100"/>
        <c:tickLblSkip val="1"/>
        <c:noMultiLvlLbl val="0"/>
      </c:catAx>
      <c:valAx>
        <c:axId val="9673830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7367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42341349153"/>
          <c:y val="0.039644371260172"/>
          <c:w val="0.514611793678555"/>
          <c:h val="0.910672178899127"/>
        </c:manualLayout>
      </c:layout>
      <c:barChart>
        <c:barDir val="bar"/>
        <c:grouping val="clustered"/>
        <c:varyColors val="0"/>
        <c:ser>
          <c:idx val="0"/>
          <c:order val="0"/>
          <c:tx>
            <c:strRef>
              <c:f>Sheet1!$B$1</c:f>
              <c:strCache>
                <c:ptCount val="1"/>
                <c:pt idx="0">
                  <c:v>自主选择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c:formatCode>
                <c:ptCount val="15"/>
                <c:pt idx="0">
                  <c:v>0.976000000000001</c:v>
                </c:pt>
                <c:pt idx="1">
                  <c:v>0.957000000000001</c:v>
                </c:pt>
                <c:pt idx="2">
                  <c:v>0.923</c:v>
                </c:pt>
                <c:pt idx="3">
                  <c:v>0.667000000000002</c:v>
                </c:pt>
                <c:pt idx="4">
                  <c:v>0.600000000000001</c:v>
                </c:pt>
                <c:pt idx="5">
                  <c:v>1</c:v>
                </c:pt>
                <c:pt idx="6">
                  <c:v>0.8</c:v>
                </c:pt>
                <c:pt idx="7">
                  <c:v>0.667000000000002</c:v>
                </c:pt>
                <c:pt idx="8">
                  <c:v>1</c:v>
                </c:pt>
                <c:pt idx="9">
                  <c:v>1</c:v>
                </c:pt>
                <c:pt idx="10">
                  <c:v>0.92</c:v>
                </c:pt>
                <c:pt idx="11">
                  <c:v>1</c:v>
                </c:pt>
                <c:pt idx="12">
                  <c:v>0.840000000000001</c:v>
                </c:pt>
                <c:pt idx="13">
                  <c:v>0.923</c:v>
                </c:pt>
                <c:pt idx="14">
                  <c:v>0.926</c:v>
                </c:pt>
              </c:numCache>
            </c:numRef>
          </c:val>
        </c:ser>
        <c:ser>
          <c:idx val="1"/>
          <c:order val="1"/>
          <c:tx>
            <c:strRef>
              <c:f>Sheet1!$C$1</c:f>
              <c:strCache>
                <c:ptCount val="1"/>
                <c:pt idx="0">
                  <c:v>父母意见</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Sheet1!$C$2:$C$16</c:f>
              <c:numCache>
                <c:formatCode>0.0%</c:formatCode>
                <c:ptCount val="15"/>
                <c:pt idx="0">
                  <c:v>0</c:v>
                </c:pt>
                <c:pt idx="1">
                  <c:v>0.043</c:v>
                </c:pt>
                <c:pt idx="2">
                  <c:v>0</c:v>
                </c:pt>
                <c:pt idx="3">
                  <c:v>0</c:v>
                </c:pt>
                <c:pt idx="4">
                  <c:v>0</c:v>
                </c:pt>
                <c:pt idx="5">
                  <c:v>0</c:v>
                </c:pt>
                <c:pt idx="6">
                  <c:v>0</c:v>
                </c:pt>
                <c:pt idx="7">
                  <c:v>0.083</c:v>
                </c:pt>
                <c:pt idx="8">
                  <c:v>0</c:v>
                </c:pt>
                <c:pt idx="9">
                  <c:v>0</c:v>
                </c:pt>
                <c:pt idx="10">
                  <c:v>0.08</c:v>
                </c:pt>
                <c:pt idx="11">
                  <c:v>0</c:v>
                </c:pt>
                <c:pt idx="12">
                  <c:v>0.04</c:v>
                </c:pt>
                <c:pt idx="13">
                  <c:v>0.077</c:v>
                </c:pt>
                <c:pt idx="14">
                  <c:v>0.037</c:v>
                </c:pt>
              </c:numCache>
            </c:numRef>
          </c:val>
        </c:ser>
        <c:ser>
          <c:idx val="2"/>
          <c:order val="2"/>
          <c:tx>
            <c:strRef>
              <c:f>Sheet1!$D$1</c:f>
              <c:strCache>
                <c:ptCount val="1"/>
                <c:pt idx="0">
                  <c:v>他人推荐（除父母外）</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Sheet1!$D$2:$D$16</c:f>
              <c:numCache>
                <c:formatCode>0.0%</c:formatCode>
                <c:ptCount val="15"/>
                <c:pt idx="0">
                  <c:v>0</c:v>
                </c:pt>
                <c:pt idx="1">
                  <c:v>0</c:v>
                </c:pt>
                <c:pt idx="2">
                  <c:v>0.077</c:v>
                </c:pt>
                <c:pt idx="3">
                  <c:v>0.333000000000001</c:v>
                </c:pt>
                <c:pt idx="4">
                  <c:v>0.4</c:v>
                </c:pt>
                <c:pt idx="5">
                  <c:v>0</c:v>
                </c:pt>
                <c:pt idx="6">
                  <c:v>0</c:v>
                </c:pt>
                <c:pt idx="7">
                  <c:v>0.083</c:v>
                </c:pt>
                <c:pt idx="8">
                  <c:v>0</c:v>
                </c:pt>
                <c:pt idx="9">
                  <c:v>0</c:v>
                </c:pt>
                <c:pt idx="10">
                  <c:v>0</c:v>
                </c:pt>
                <c:pt idx="11">
                  <c:v>0</c:v>
                </c:pt>
                <c:pt idx="12">
                  <c:v>0.08</c:v>
                </c:pt>
                <c:pt idx="13">
                  <c:v>0</c:v>
                </c:pt>
                <c:pt idx="14">
                  <c:v>0.037</c:v>
                </c:pt>
              </c:numCache>
            </c:numRef>
          </c:val>
        </c:ser>
        <c:ser>
          <c:idx val="3"/>
          <c:order val="3"/>
          <c:tx>
            <c:strRef>
              <c:f>Sheet1!$E$1</c:f>
              <c:strCache>
                <c:ptCount val="1"/>
                <c:pt idx="0">
                  <c:v>专业调剂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Sheet1!$E$2:$E$16</c:f>
              <c:numCache>
                <c:formatCode>0.0%</c:formatCode>
                <c:ptCount val="15"/>
                <c:pt idx="0">
                  <c:v>0.024</c:v>
                </c:pt>
                <c:pt idx="1">
                  <c:v>0</c:v>
                </c:pt>
                <c:pt idx="2">
                  <c:v>0</c:v>
                </c:pt>
                <c:pt idx="3">
                  <c:v>0</c:v>
                </c:pt>
                <c:pt idx="4">
                  <c:v>0</c:v>
                </c:pt>
                <c:pt idx="5">
                  <c:v>0</c:v>
                </c:pt>
                <c:pt idx="6">
                  <c:v>0.2</c:v>
                </c:pt>
                <c:pt idx="7">
                  <c:v>0.083</c:v>
                </c:pt>
                <c:pt idx="8">
                  <c:v>0</c:v>
                </c:pt>
                <c:pt idx="9">
                  <c:v>0</c:v>
                </c:pt>
                <c:pt idx="10">
                  <c:v>0</c:v>
                </c:pt>
                <c:pt idx="11">
                  <c:v>0</c:v>
                </c:pt>
                <c:pt idx="12">
                  <c:v>0</c:v>
                </c:pt>
                <c:pt idx="13">
                  <c:v>0</c:v>
                </c:pt>
                <c:pt idx="14">
                  <c:v>0</c:v>
                </c:pt>
              </c:numCache>
            </c:numRef>
          </c:val>
        </c:ser>
        <c:ser>
          <c:idx val="4"/>
          <c:order val="4"/>
          <c:tx>
            <c:strRef>
              <c:f>Sheet1!$F$1</c:f>
              <c:strCache>
                <c:ptCount val="1"/>
                <c:pt idx="0">
                  <c:v>其他</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Sheet1!$F$2:$F$16</c:f>
              <c:numCache>
                <c:formatCode>0.0%</c:formatCode>
                <c:ptCount val="15"/>
                <c:pt idx="0">
                  <c:v>0</c:v>
                </c:pt>
                <c:pt idx="1">
                  <c:v>0</c:v>
                </c:pt>
                <c:pt idx="2">
                  <c:v>0</c:v>
                </c:pt>
                <c:pt idx="3">
                  <c:v>0</c:v>
                </c:pt>
                <c:pt idx="4">
                  <c:v>0</c:v>
                </c:pt>
                <c:pt idx="5">
                  <c:v>0</c:v>
                </c:pt>
                <c:pt idx="6">
                  <c:v>0</c:v>
                </c:pt>
                <c:pt idx="7">
                  <c:v>0.083</c:v>
                </c:pt>
                <c:pt idx="8">
                  <c:v>0</c:v>
                </c:pt>
                <c:pt idx="9">
                  <c:v>0</c:v>
                </c:pt>
                <c:pt idx="10">
                  <c:v>0</c:v>
                </c:pt>
                <c:pt idx="11">
                  <c:v>0</c:v>
                </c:pt>
                <c:pt idx="12">
                  <c:v>0.04</c:v>
                </c:pt>
                <c:pt idx="13">
                  <c:v>0</c:v>
                </c:pt>
                <c:pt idx="14">
                  <c:v>0</c:v>
                </c:pt>
              </c:numCache>
            </c:numRef>
          </c:val>
        </c:ser>
        <c:dLbls>
          <c:showLegendKey val="0"/>
          <c:showVal val="0"/>
          <c:showCatName val="0"/>
          <c:showSerName val="0"/>
          <c:showPercent val="0"/>
          <c:showBubbleSize val="0"/>
        </c:dLbls>
        <c:gapWidth val="150"/>
        <c:axId val="384681088"/>
        <c:axId val="384682624"/>
      </c:barChart>
      <c:catAx>
        <c:axId val="384681088"/>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4682624"/>
        <c:crosses val="autoZero"/>
        <c:auto val="0"/>
        <c:lblAlgn val="ctr"/>
        <c:lblOffset val="100"/>
        <c:tickLblSkip val="1"/>
        <c:noMultiLvlLbl val="0"/>
      </c:catAx>
      <c:valAx>
        <c:axId val="384682624"/>
        <c:scaling>
          <c:orientation val="minMax"/>
        </c:scaling>
        <c:delete val="0"/>
        <c:axPos val="t"/>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6810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很喜欢</c:v>
                </c:pt>
                <c:pt idx="1">
                  <c:v>喜欢</c:v>
                </c:pt>
                <c:pt idx="2">
                  <c:v>不好说</c:v>
                </c:pt>
                <c:pt idx="3">
                  <c:v>不喜欢</c:v>
                </c:pt>
                <c:pt idx="4">
                  <c:v>很不喜欢</c:v>
                </c:pt>
              </c:strCache>
            </c:strRef>
          </c:cat>
          <c:val>
            <c:numRef>
              <c:f>Sheet1!$B$2:$B$6</c:f>
              <c:numCache>
                <c:formatCode>0.0%</c:formatCode>
                <c:ptCount val="5"/>
                <c:pt idx="0">
                  <c:v>0.491</c:v>
                </c:pt>
                <c:pt idx="1">
                  <c:v>0.398000000000001</c:v>
                </c:pt>
                <c:pt idx="2">
                  <c:v>0.102</c:v>
                </c:pt>
                <c:pt idx="3">
                  <c:v>0.00400000000000001</c:v>
                </c:pt>
                <c:pt idx="4">
                  <c:v>0.00400000000000001</c:v>
                </c:pt>
              </c:numCache>
            </c:numRef>
          </c:val>
        </c:ser>
        <c:dLbls>
          <c:showLegendKey val="0"/>
          <c:showVal val="0"/>
          <c:showCatName val="0"/>
          <c:showSerName val="0"/>
          <c:showPercent val="0"/>
          <c:showBubbleSize val="0"/>
        </c:dLbls>
        <c:gapWidth val="80"/>
        <c:axId val="384748544"/>
        <c:axId val="384762624"/>
      </c:barChart>
      <c:catAx>
        <c:axId val="3847485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762624"/>
        <c:crosses val="autoZero"/>
        <c:auto val="1"/>
        <c:lblAlgn val="ctr"/>
        <c:lblOffset val="100"/>
        <c:tickLblSkip val="1"/>
        <c:noMultiLvlLbl val="0"/>
      </c:catAx>
      <c:valAx>
        <c:axId val="3847626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7485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4.76</c:v>
                </c:pt>
                <c:pt idx="1">
                  <c:v>4.57</c:v>
                </c:pt>
                <c:pt idx="2">
                  <c:v>4.77</c:v>
                </c:pt>
                <c:pt idx="3">
                  <c:v>4</c:v>
                </c:pt>
                <c:pt idx="4">
                  <c:v>4.3</c:v>
                </c:pt>
                <c:pt idx="5">
                  <c:v>4.25</c:v>
                </c:pt>
                <c:pt idx="6">
                  <c:v>4</c:v>
                </c:pt>
                <c:pt idx="7">
                  <c:v>3.83</c:v>
                </c:pt>
                <c:pt idx="8">
                  <c:v>4.44</c:v>
                </c:pt>
                <c:pt idx="9">
                  <c:v>4.45</c:v>
                </c:pt>
                <c:pt idx="10">
                  <c:v>4.28</c:v>
                </c:pt>
                <c:pt idx="11">
                  <c:v>3</c:v>
                </c:pt>
                <c:pt idx="12">
                  <c:v>3.96</c:v>
                </c:pt>
                <c:pt idx="13">
                  <c:v>4.85</c:v>
                </c:pt>
                <c:pt idx="14">
                  <c:v>4.04</c:v>
                </c:pt>
              </c:numCache>
            </c:numRef>
          </c:val>
        </c:ser>
        <c:dLbls>
          <c:showLegendKey val="0"/>
          <c:showVal val="0"/>
          <c:showCatName val="0"/>
          <c:showSerName val="0"/>
          <c:showPercent val="0"/>
          <c:showBubbleSize val="0"/>
        </c:dLbls>
        <c:gapWidth val="80"/>
        <c:axId val="384770432"/>
        <c:axId val="384771968"/>
      </c:barChart>
      <c:catAx>
        <c:axId val="384770432"/>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4771968"/>
        <c:crosses val="autoZero"/>
        <c:auto val="1"/>
        <c:lblAlgn val="ctr"/>
        <c:lblOffset val="100"/>
        <c:tickLblSkip val="1"/>
        <c:noMultiLvlLbl val="0"/>
      </c:catAx>
      <c:valAx>
        <c:axId val="384771968"/>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77043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很愿意</c:v>
                </c:pt>
                <c:pt idx="1">
                  <c:v>愿意</c:v>
                </c:pt>
                <c:pt idx="2">
                  <c:v>不好说</c:v>
                </c:pt>
                <c:pt idx="3">
                  <c:v>不愿意</c:v>
                </c:pt>
                <c:pt idx="4">
                  <c:v>很不愿意</c:v>
                </c:pt>
              </c:strCache>
            </c:strRef>
          </c:cat>
          <c:val>
            <c:numRef>
              <c:f>Sheet1!$B$2:$B$6</c:f>
              <c:numCache>
                <c:formatCode>0.0%</c:formatCode>
                <c:ptCount val="5"/>
                <c:pt idx="0">
                  <c:v>0.531</c:v>
                </c:pt>
                <c:pt idx="1">
                  <c:v>0.376000000000001</c:v>
                </c:pt>
                <c:pt idx="2">
                  <c:v>0.075</c:v>
                </c:pt>
                <c:pt idx="3">
                  <c:v>0.009</c:v>
                </c:pt>
                <c:pt idx="4">
                  <c:v>0.009</c:v>
                </c:pt>
              </c:numCache>
            </c:numRef>
          </c:val>
        </c:ser>
        <c:dLbls>
          <c:showLegendKey val="0"/>
          <c:showVal val="0"/>
          <c:showCatName val="0"/>
          <c:showSerName val="0"/>
          <c:showPercent val="0"/>
          <c:showBubbleSize val="0"/>
        </c:dLbls>
        <c:gapWidth val="80"/>
        <c:axId val="384370560"/>
        <c:axId val="384372096"/>
      </c:barChart>
      <c:catAx>
        <c:axId val="3843705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372096"/>
        <c:crosses val="autoZero"/>
        <c:auto val="1"/>
        <c:lblAlgn val="ctr"/>
        <c:lblOffset val="100"/>
        <c:tickLblSkip val="1"/>
        <c:noMultiLvlLbl val="0"/>
      </c:catAx>
      <c:valAx>
        <c:axId val="3843720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3705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4.78</c:v>
                </c:pt>
                <c:pt idx="1">
                  <c:v>4.57</c:v>
                </c:pt>
                <c:pt idx="2">
                  <c:v>4.69</c:v>
                </c:pt>
                <c:pt idx="3">
                  <c:v>4</c:v>
                </c:pt>
                <c:pt idx="4">
                  <c:v>4.3</c:v>
                </c:pt>
                <c:pt idx="5">
                  <c:v>4.25</c:v>
                </c:pt>
                <c:pt idx="6">
                  <c:v>3.8</c:v>
                </c:pt>
                <c:pt idx="7">
                  <c:v>3.92</c:v>
                </c:pt>
                <c:pt idx="8">
                  <c:v>4.33</c:v>
                </c:pt>
                <c:pt idx="9">
                  <c:v>4.64</c:v>
                </c:pt>
                <c:pt idx="10">
                  <c:v>4.24</c:v>
                </c:pt>
                <c:pt idx="11">
                  <c:v>3</c:v>
                </c:pt>
                <c:pt idx="12">
                  <c:v>4.16</c:v>
                </c:pt>
                <c:pt idx="13">
                  <c:v>4.92</c:v>
                </c:pt>
                <c:pt idx="14">
                  <c:v>4.19</c:v>
                </c:pt>
              </c:numCache>
            </c:numRef>
          </c:val>
        </c:ser>
        <c:dLbls>
          <c:showLegendKey val="0"/>
          <c:showVal val="0"/>
          <c:showCatName val="0"/>
          <c:showSerName val="0"/>
          <c:showPercent val="0"/>
          <c:showBubbleSize val="0"/>
        </c:dLbls>
        <c:gapWidth val="80"/>
        <c:axId val="384867328"/>
        <c:axId val="384897792"/>
      </c:barChart>
      <c:catAx>
        <c:axId val="384867328"/>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4897792"/>
        <c:crosses val="autoZero"/>
        <c:auto val="1"/>
        <c:lblAlgn val="ctr"/>
        <c:lblOffset val="100"/>
        <c:tickLblSkip val="1"/>
        <c:noMultiLvlLbl val="0"/>
      </c:catAx>
      <c:valAx>
        <c:axId val="384897792"/>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86732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c:formatCode>
                <c:ptCount val="5"/>
                <c:pt idx="0">
                  <c:v>0.358</c:v>
                </c:pt>
                <c:pt idx="1">
                  <c:v>0.491</c:v>
                </c:pt>
                <c:pt idx="2">
                  <c:v>0.111</c:v>
                </c:pt>
                <c:pt idx="3">
                  <c:v>0.035</c:v>
                </c:pt>
                <c:pt idx="4">
                  <c:v>0.00400000000000001</c:v>
                </c:pt>
              </c:numCache>
            </c:numRef>
          </c:val>
        </c:ser>
        <c:dLbls>
          <c:showLegendKey val="0"/>
          <c:showVal val="0"/>
          <c:showCatName val="0"/>
          <c:showSerName val="0"/>
          <c:showPercent val="0"/>
          <c:showBubbleSize val="0"/>
        </c:dLbls>
        <c:gapWidth val="80"/>
        <c:axId val="384914560"/>
        <c:axId val="384916096"/>
      </c:barChart>
      <c:catAx>
        <c:axId val="3849145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916096"/>
        <c:crosses val="autoZero"/>
        <c:auto val="1"/>
        <c:lblAlgn val="ctr"/>
        <c:lblOffset val="100"/>
        <c:tickLblSkip val="1"/>
        <c:noMultiLvlLbl val="0"/>
      </c:catAx>
      <c:valAx>
        <c:axId val="3849160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9145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4.41</c:v>
                </c:pt>
                <c:pt idx="1">
                  <c:v>4.57</c:v>
                </c:pt>
                <c:pt idx="2">
                  <c:v>4.23</c:v>
                </c:pt>
                <c:pt idx="3">
                  <c:v>4.33</c:v>
                </c:pt>
                <c:pt idx="4">
                  <c:v>4.3</c:v>
                </c:pt>
                <c:pt idx="5">
                  <c:v>4</c:v>
                </c:pt>
                <c:pt idx="6">
                  <c:v>3.8</c:v>
                </c:pt>
                <c:pt idx="7">
                  <c:v>4</c:v>
                </c:pt>
                <c:pt idx="8">
                  <c:v>4.11</c:v>
                </c:pt>
                <c:pt idx="9">
                  <c:v>3.82</c:v>
                </c:pt>
                <c:pt idx="10">
                  <c:v>4.24</c:v>
                </c:pt>
                <c:pt idx="11">
                  <c:v>2</c:v>
                </c:pt>
                <c:pt idx="12">
                  <c:v>3.84</c:v>
                </c:pt>
                <c:pt idx="13">
                  <c:v>4.31</c:v>
                </c:pt>
                <c:pt idx="14">
                  <c:v>3.93</c:v>
                </c:pt>
              </c:numCache>
            </c:numRef>
          </c:val>
        </c:ser>
        <c:dLbls>
          <c:showLegendKey val="0"/>
          <c:showVal val="0"/>
          <c:showCatName val="0"/>
          <c:showSerName val="0"/>
          <c:showPercent val="0"/>
          <c:showBubbleSize val="0"/>
        </c:dLbls>
        <c:gapWidth val="80"/>
        <c:axId val="384805120"/>
        <c:axId val="384999424"/>
      </c:barChart>
      <c:catAx>
        <c:axId val="384805120"/>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4999424"/>
        <c:crosses val="autoZero"/>
        <c:auto val="1"/>
        <c:lblAlgn val="ctr"/>
        <c:lblOffset val="100"/>
        <c:tickLblSkip val="1"/>
        <c:noMultiLvlLbl val="0"/>
      </c:catAx>
      <c:valAx>
        <c:axId val="384999424"/>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80512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c:formatCode>
                <c:ptCount val="5"/>
                <c:pt idx="0">
                  <c:v>0.496000000000001</c:v>
                </c:pt>
                <c:pt idx="1">
                  <c:v>0.429</c:v>
                </c:pt>
                <c:pt idx="2">
                  <c:v>0.066</c:v>
                </c:pt>
                <c:pt idx="3">
                  <c:v>0.00400000000000001</c:v>
                </c:pt>
                <c:pt idx="4">
                  <c:v>0.00400000000000001</c:v>
                </c:pt>
              </c:numCache>
            </c:numRef>
          </c:val>
        </c:ser>
        <c:dLbls>
          <c:showLegendKey val="0"/>
          <c:showVal val="0"/>
          <c:showCatName val="0"/>
          <c:showSerName val="0"/>
          <c:showPercent val="0"/>
          <c:showBubbleSize val="0"/>
        </c:dLbls>
        <c:gapWidth val="80"/>
        <c:axId val="385056768"/>
        <c:axId val="385058304"/>
      </c:barChart>
      <c:catAx>
        <c:axId val="3850567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058304"/>
        <c:crosses val="autoZero"/>
        <c:auto val="1"/>
        <c:lblAlgn val="ctr"/>
        <c:lblOffset val="100"/>
        <c:tickLblSkip val="1"/>
        <c:noMultiLvlLbl val="0"/>
      </c:catAx>
      <c:valAx>
        <c:axId val="38505830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0567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4.56</c:v>
                </c:pt>
                <c:pt idx="1">
                  <c:v>4.74</c:v>
                </c:pt>
                <c:pt idx="2">
                  <c:v>4.46</c:v>
                </c:pt>
                <c:pt idx="3">
                  <c:v>4.33</c:v>
                </c:pt>
                <c:pt idx="4">
                  <c:v>4.5</c:v>
                </c:pt>
                <c:pt idx="5">
                  <c:v>4.25</c:v>
                </c:pt>
                <c:pt idx="6">
                  <c:v>4.2</c:v>
                </c:pt>
                <c:pt idx="7">
                  <c:v>4.17</c:v>
                </c:pt>
                <c:pt idx="8">
                  <c:v>4.33</c:v>
                </c:pt>
                <c:pt idx="9">
                  <c:v>4</c:v>
                </c:pt>
                <c:pt idx="10">
                  <c:v>4.6</c:v>
                </c:pt>
                <c:pt idx="11">
                  <c:v>3</c:v>
                </c:pt>
                <c:pt idx="12">
                  <c:v>4.12</c:v>
                </c:pt>
                <c:pt idx="13">
                  <c:v>4.62</c:v>
                </c:pt>
                <c:pt idx="14">
                  <c:v>4.26</c:v>
                </c:pt>
              </c:numCache>
            </c:numRef>
          </c:val>
        </c:ser>
        <c:dLbls>
          <c:showLegendKey val="0"/>
          <c:showVal val="0"/>
          <c:showCatName val="0"/>
          <c:showSerName val="0"/>
          <c:showPercent val="0"/>
          <c:showBubbleSize val="0"/>
        </c:dLbls>
        <c:gapWidth val="80"/>
        <c:axId val="384734336"/>
        <c:axId val="384735872"/>
      </c:barChart>
      <c:catAx>
        <c:axId val="38473433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4735872"/>
        <c:crosses val="autoZero"/>
        <c:auto val="1"/>
        <c:lblAlgn val="ctr"/>
        <c:lblOffset val="100"/>
        <c:tickLblSkip val="1"/>
        <c:noMultiLvlLbl val="0"/>
      </c:catAx>
      <c:valAx>
        <c:axId val="384735872"/>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73433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很多</c:v>
                </c:pt>
                <c:pt idx="1">
                  <c:v>多</c:v>
                </c:pt>
                <c:pt idx="2">
                  <c:v>不好说</c:v>
                </c:pt>
                <c:pt idx="3">
                  <c:v>少</c:v>
                </c:pt>
              </c:strCache>
            </c:strRef>
          </c:cat>
          <c:val>
            <c:numRef>
              <c:f>Sheet1!$B$2:$B$5</c:f>
              <c:numCache>
                <c:formatCode>0.0%</c:formatCode>
                <c:ptCount val="4"/>
                <c:pt idx="0">
                  <c:v>0.301</c:v>
                </c:pt>
                <c:pt idx="1">
                  <c:v>0.438000000000001</c:v>
                </c:pt>
                <c:pt idx="2">
                  <c:v>0.226</c:v>
                </c:pt>
                <c:pt idx="3">
                  <c:v>0.035</c:v>
                </c:pt>
              </c:numCache>
            </c:numRef>
          </c:val>
        </c:ser>
        <c:dLbls>
          <c:showLegendKey val="0"/>
          <c:showVal val="0"/>
          <c:showCatName val="0"/>
          <c:showSerName val="0"/>
          <c:showPercent val="0"/>
          <c:showBubbleSize val="0"/>
        </c:dLbls>
        <c:gapWidth val="80"/>
        <c:axId val="385251968"/>
        <c:axId val="385253760"/>
      </c:barChart>
      <c:catAx>
        <c:axId val="38525196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253760"/>
        <c:crosses val="autoZero"/>
        <c:auto val="1"/>
        <c:lblAlgn val="ctr"/>
        <c:lblOffset val="100"/>
        <c:tickLblSkip val="1"/>
        <c:noMultiLvlLbl val="0"/>
      </c:catAx>
      <c:valAx>
        <c:axId val="38525376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25196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北京地区</c:v>
                </c:pt>
                <c:pt idx="1">
                  <c:v>东北经济区</c:v>
                </c:pt>
              </c:strCache>
            </c:strRef>
          </c:cat>
          <c:val>
            <c:numRef>
              <c:f>Sheet1!$B$2:$B$3</c:f>
              <c:numCache>
                <c:formatCode>0.0%</c:formatCode>
                <c:ptCount val="2"/>
                <c:pt idx="0">
                  <c:v>0.938</c:v>
                </c:pt>
                <c:pt idx="1">
                  <c:v>0.063</c:v>
                </c:pt>
              </c:numCache>
            </c:numRef>
          </c:val>
        </c:ser>
        <c:dLbls>
          <c:showLegendKey val="0"/>
          <c:showVal val="0"/>
          <c:showCatName val="0"/>
          <c:showSerName val="0"/>
          <c:showPercent val="0"/>
          <c:showBubbleSize val="0"/>
        </c:dLbls>
        <c:gapWidth val="80"/>
        <c:axId val="96766976"/>
        <c:axId val="157889280"/>
      </c:barChart>
      <c:catAx>
        <c:axId val="967669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7889280"/>
        <c:crosses val="autoZero"/>
        <c:auto val="1"/>
        <c:lblAlgn val="ctr"/>
        <c:lblOffset val="100"/>
        <c:tickLblSkip val="1"/>
        <c:noMultiLvlLbl val="0"/>
      </c:catAx>
      <c:valAx>
        <c:axId val="1578892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7669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4.49</c:v>
                </c:pt>
                <c:pt idx="1">
                  <c:v>4.13</c:v>
                </c:pt>
                <c:pt idx="2">
                  <c:v>3.85</c:v>
                </c:pt>
                <c:pt idx="3">
                  <c:v>4</c:v>
                </c:pt>
                <c:pt idx="4">
                  <c:v>3.9</c:v>
                </c:pt>
                <c:pt idx="5">
                  <c:v>3.63</c:v>
                </c:pt>
                <c:pt idx="6">
                  <c:v>4</c:v>
                </c:pt>
                <c:pt idx="7">
                  <c:v>3.33</c:v>
                </c:pt>
                <c:pt idx="8">
                  <c:v>4.11</c:v>
                </c:pt>
                <c:pt idx="9">
                  <c:v>3.55</c:v>
                </c:pt>
                <c:pt idx="10">
                  <c:v>3.92</c:v>
                </c:pt>
                <c:pt idx="11">
                  <c:v>4</c:v>
                </c:pt>
                <c:pt idx="12">
                  <c:v>4</c:v>
                </c:pt>
                <c:pt idx="13">
                  <c:v>4.54</c:v>
                </c:pt>
                <c:pt idx="14">
                  <c:v>3.67</c:v>
                </c:pt>
              </c:numCache>
            </c:numRef>
          </c:val>
        </c:ser>
        <c:dLbls>
          <c:showLegendKey val="0"/>
          <c:showVal val="0"/>
          <c:showCatName val="0"/>
          <c:showSerName val="0"/>
          <c:showPercent val="0"/>
          <c:showBubbleSize val="0"/>
        </c:dLbls>
        <c:gapWidth val="80"/>
        <c:axId val="385228800"/>
        <c:axId val="385230336"/>
      </c:barChart>
      <c:catAx>
        <c:axId val="385228800"/>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5230336"/>
        <c:crosses val="autoZero"/>
        <c:auto val="1"/>
        <c:lblAlgn val="ctr"/>
        <c:lblOffset val="100"/>
        <c:tickLblSkip val="1"/>
        <c:noMultiLvlLbl val="0"/>
      </c:catAx>
      <c:valAx>
        <c:axId val="385230336"/>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22880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很多</c:v>
                </c:pt>
                <c:pt idx="1">
                  <c:v>多</c:v>
                </c:pt>
                <c:pt idx="2">
                  <c:v>不好说</c:v>
                </c:pt>
                <c:pt idx="3">
                  <c:v>少</c:v>
                </c:pt>
              </c:strCache>
            </c:strRef>
          </c:cat>
          <c:val>
            <c:numRef>
              <c:f>Sheet1!$B$2:$B$5</c:f>
              <c:numCache>
                <c:formatCode>0.0%</c:formatCode>
                <c:ptCount val="4"/>
                <c:pt idx="0">
                  <c:v>0.301</c:v>
                </c:pt>
                <c:pt idx="1">
                  <c:v>0.394000000000001</c:v>
                </c:pt>
                <c:pt idx="2">
                  <c:v>0.257</c:v>
                </c:pt>
                <c:pt idx="3">
                  <c:v>0.0490000000000001</c:v>
                </c:pt>
              </c:numCache>
            </c:numRef>
          </c:val>
        </c:ser>
        <c:dLbls>
          <c:showLegendKey val="0"/>
          <c:showVal val="0"/>
          <c:showCatName val="0"/>
          <c:showSerName val="0"/>
          <c:showPercent val="0"/>
          <c:showBubbleSize val="0"/>
        </c:dLbls>
        <c:gapWidth val="80"/>
        <c:axId val="385115648"/>
        <c:axId val="385117184"/>
      </c:barChart>
      <c:catAx>
        <c:axId val="3851156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117184"/>
        <c:crosses val="autoZero"/>
        <c:auto val="1"/>
        <c:lblAlgn val="ctr"/>
        <c:lblOffset val="100"/>
        <c:tickLblSkip val="1"/>
        <c:noMultiLvlLbl val="0"/>
      </c:catAx>
      <c:valAx>
        <c:axId val="38511718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1156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4.46</c:v>
                </c:pt>
                <c:pt idx="1">
                  <c:v>4.04</c:v>
                </c:pt>
                <c:pt idx="2">
                  <c:v>3.92</c:v>
                </c:pt>
                <c:pt idx="3">
                  <c:v>3.67</c:v>
                </c:pt>
                <c:pt idx="4">
                  <c:v>4.1</c:v>
                </c:pt>
                <c:pt idx="5">
                  <c:v>3.63</c:v>
                </c:pt>
                <c:pt idx="6">
                  <c:v>3.8</c:v>
                </c:pt>
                <c:pt idx="7">
                  <c:v>3.25</c:v>
                </c:pt>
                <c:pt idx="8">
                  <c:v>3.78</c:v>
                </c:pt>
                <c:pt idx="9">
                  <c:v>3.64</c:v>
                </c:pt>
                <c:pt idx="10">
                  <c:v>3.72</c:v>
                </c:pt>
                <c:pt idx="11">
                  <c:v>2</c:v>
                </c:pt>
                <c:pt idx="12">
                  <c:v>3.96</c:v>
                </c:pt>
                <c:pt idx="13">
                  <c:v>4.46</c:v>
                </c:pt>
                <c:pt idx="14">
                  <c:v>3.7</c:v>
                </c:pt>
              </c:numCache>
            </c:numRef>
          </c:val>
        </c:ser>
        <c:dLbls>
          <c:showLegendKey val="0"/>
          <c:showVal val="0"/>
          <c:showCatName val="0"/>
          <c:showSerName val="0"/>
          <c:showPercent val="0"/>
          <c:showBubbleSize val="0"/>
        </c:dLbls>
        <c:gapWidth val="80"/>
        <c:axId val="386390656"/>
        <c:axId val="386445696"/>
      </c:barChart>
      <c:catAx>
        <c:axId val="38639065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6445696"/>
        <c:crosses val="autoZero"/>
        <c:auto val="1"/>
        <c:lblAlgn val="ctr"/>
        <c:lblOffset val="100"/>
        <c:tickLblSkip val="1"/>
        <c:noMultiLvlLbl val="0"/>
      </c:catAx>
      <c:valAx>
        <c:axId val="386445696"/>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39065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很高</c:v>
                </c:pt>
                <c:pt idx="1">
                  <c:v>高</c:v>
                </c:pt>
                <c:pt idx="2">
                  <c:v>不好说</c:v>
                </c:pt>
                <c:pt idx="3">
                  <c:v>低</c:v>
                </c:pt>
                <c:pt idx="4">
                  <c:v>很低</c:v>
                </c:pt>
              </c:strCache>
            </c:strRef>
          </c:cat>
          <c:val>
            <c:numRef>
              <c:f>Sheet1!$B$2:$B$6</c:f>
              <c:numCache>
                <c:formatCode>0.0%</c:formatCode>
                <c:ptCount val="5"/>
                <c:pt idx="0">
                  <c:v>0.19</c:v>
                </c:pt>
                <c:pt idx="1">
                  <c:v>0.389000000000001</c:v>
                </c:pt>
                <c:pt idx="2">
                  <c:v>0.332000000000001</c:v>
                </c:pt>
                <c:pt idx="3">
                  <c:v>0.066</c:v>
                </c:pt>
                <c:pt idx="4">
                  <c:v>0.022</c:v>
                </c:pt>
              </c:numCache>
            </c:numRef>
          </c:val>
        </c:ser>
        <c:dLbls>
          <c:showLegendKey val="0"/>
          <c:showVal val="0"/>
          <c:showCatName val="0"/>
          <c:showSerName val="0"/>
          <c:showPercent val="0"/>
          <c:showBubbleSize val="0"/>
        </c:dLbls>
        <c:gapWidth val="80"/>
        <c:axId val="386453888"/>
        <c:axId val="386455424"/>
      </c:barChart>
      <c:catAx>
        <c:axId val="38645388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455424"/>
        <c:crosses val="autoZero"/>
        <c:auto val="1"/>
        <c:lblAlgn val="ctr"/>
        <c:lblOffset val="100"/>
        <c:tickLblSkip val="1"/>
        <c:noMultiLvlLbl val="0"/>
      </c:catAx>
      <c:valAx>
        <c:axId val="38645542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45388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Sheet1!$A$2:$A$16</c:f>
              <c:strCache>
                <c:ptCount val="15"/>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戏剧影视美术设计</c:v>
                </c:pt>
                <c:pt idx="12">
                  <c:v>演出制作</c:v>
                </c:pt>
                <c:pt idx="13">
                  <c:v>影视编导</c:v>
                </c:pt>
                <c:pt idx="14">
                  <c:v>制片管理</c:v>
                </c:pt>
              </c:strCache>
            </c:strRef>
          </c:cat>
          <c:val>
            <c:numRef>
              <c:f>Sheet1!$B$2:$B$16</c:f>
              <c:numCache>
                <c:formatCode>0.0_);[Red]\(0.0\)</c:formatCode>
                <c:ptCount val="15"/>
                <c:pt idx="0">
                  <c:v>4.05</c:v>
                </c:pt>
                <c:pt idx="1">
                  <c:v>3.7</c:v>
                </c:pt>
                <c:pt idx="2">
                  <c:v>3.31</c:v>
                </c:pt>
                <c:pt idx="3">
                  <c:v>3.33</c:v>
                </c:pt>
                <c:pt idx="4">
                  <c:v>3.6</c:v>
                </c:pt>
                <c:pt idx="5">
                  <c:v>3.38</c:v>
                </c:pt>
                <c:pt idx="6">
                  <c:v>3.4</c:v>
                </c:pt>
                <c:pt idx="7">
                  <c:v>3</c:v>
                </c:pt>
                <c:pt idx="8">
                  <c:v>3.22</c:v>
                </c:pt>
                <c:pt idx="9">
                  <c:v>3.55</c:v>
                </c:pt>
                <c:pt idx="10">
                  <c:v>3.16</c:v>
                </c:pt>
                <c:pt idx="11">
                  <c:v>2</c:v>
                </c:pt>
                <c:pt idx="12">
                  <c:v>3.96</c:v>
                </c:pt>
                <c:pt idx="13">
                  <c:v>4.15</c:v>
                </c:pt>
                <c:pt idx="14">
                  <c:v>3.89</c:v>
                </c:pt>
              </c:numCache>
            </c:numRef>
          </c:val>
        </c:ser>
        <c:dLbls>
          <c:showLegendKey val="0"/>
          <c:showVal val="0"/>
          <c:showCatName val="0"/>
          <c:showSerName val="0"/>
          <c:showPercent val="0"/>
          <c:showBubbleSize val="0"/>
        </c:dLbls>
        <c:gapWidth val="80"/>
        <c:axId val="386561536"/>
        <c:axId val="386563072"/>
      </c:barChart>
      <c:catAx>
        <c:axId val="38656153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6563072"/>
        <c:crosses val="autoZero"/>
        <c:auto val="1"/>
        <c:lblAlgn val="ctr"/>
        <c:lblOffset val="100"/>
        <c:tickLblSkip val="1"/>
        <c:noMultiLvlLbl val="0"/>
      </c:catAx>
      <c:valAx>
        <c:axId val="386563072"/>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56153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902116212746134"/>
        </c:manualLayout>
      </c:layout>
      <c:barChart>
        <c:barDir val="bar"/>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c:formatCode>
                <c:ptCount val="12"/>
                <c:pt idx="0">
                  <c:v>0.659000000000002</c:v>
                </c:pt>
                <c:pt idx="1">
                  <c:v>0.863000000000001</c:v>
                </c:pt>
                <c:pt idx="2">
                  <c:v>0.301</c:v>
                </c:pt>
                <c:pt idx="3">
                  <c:v>0.960000000000001</c:v>
                </c:pt>
                <c:pt idx="4">
                  <c:v>0.704000000000001</c:v>
                </c:pt>
                <c:pt idx="5">
                  <c:v>0.332000000000001</c:v>
                </c:pt>
                <c:pt idx="6">
                  <c:v>0.23</c:v>
                </c:pt>
                <c:pt idx="7">
                  <c:v>0.186</c:v>
                </c:pt>
                <c:pt idx="8">
                  <c:v>0.509</c:v>
                </c:pt>
                <c:pt idx="9">
                  <c:v>0.473</c:v>
                </c:pt>
                <c:pt idx="10">
                  <c:v>0.801</c:v>
                </c:pt>
                <c:pt idx="11">
                  <c:v>0.615000000000001</c:v>
                </c:pt>
              </c:numCache>
            </c:numRef>
          </c:val>
        </c:ser>
        <c:dLbls>
          <c:showLegendKey val="0"/>
          <c:showVal val="0"/>
          <c:showCatName val="0"/>
          <c:showSerName val="0"/>
          <c:showPercent val="0"/>
          <c:showBubbleSize val="0"/>
        </c:dLbls>
        <c:gapWidth val="80"/>
        <c:axId val="386415232"/>
        <c:axId val="386576768"/>
      </c:barChart>
      <c:catAx>
        <c:axId val="386415232"/>
        <c:scaling>
          <c:orientation val="maxMin"/>
        </c:scaling>
        <c:delete val="0"/>
        <c:axPos val="l"/>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6576768"/>
        <c:crosses val="autoZero"/>
        <c:auto val="1"/>
        <c:lblAlgn val="ctr"/>
        <c:lblOffset val="100"/>
        <c:tickLblSkip val="1"/>
        <c:noMultiLvlLbl val="0"/>
      </c:catAx>
      <c:valAx>
        <c:axId val="386576768"/>
        <c:scaling>
          <c:orientation val="minMax"/>
        </c:scaling>
        <c:delete val="0"/>
        <c:axPos val="t"/>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41523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校园招聘会/宣讲会</c:v>
                </c:pt>
                <c:pt idx="1">
                  <c:v>就业信息服务</c:v>
                </c:pt>
                <c:pt idx="2">
                  <c:v>职业测评</c:v>
                </c:pt>
                <c:pt idx="3">
                  <c:v>就业指导课程</c:v>
                </c:pt>
                <c:pt idx="4">
                  <c:v>就业指导讲座、工作坊与活动</c:v>
                </c:pt>
                <c:pt idx="5">
                  <c:v>团体职业辅导</c:v>
                </c:pt>
                <c:pt idx="6">
                  <c:v>个体职业辅导</c:v>
                </c:pt>
                <c:pt idx="7">
                  <c:v>困难帮扶</c:v>
                </c:pt>
                <c:pt idx="8">
                  <c:v>学校就业推荐</c:v>
                </c:pt>
                <c:pt idx="9">
                  <c:v>学院就业推荐</c:v>
                </c:pt>
                <c:pt idx="10">
                  <c:v>就业实习/实践</c:v>
                </c:pt>
                <c:pt idx="11">
                  <c:v>就业相关政策咨询</c:v>
                </c:pt>
              </c:strCache>
            </c:strRef>
          </c:cat>
          <c:val>
            <c:numRef>
              <c:f>Sheet1!$B$2:$B$13</c:f>
              <c:numCache>
                <c:formatCode>0.0_);[Red]\(0.0\)</c:formatCode>
                <c:ptCount val="12"/>
                <c:pt idx="0">
                  <c:v>4.3</c:v>
                </c:pt>
                <c:pt idx="1">
                  <c:v>4.33</c:v>
                </c:pt>
                <c:pt idx="2">
                  <c:v>4.52</c:v>
                </c:pt>
                <c:pt idx="3">
                  <c:v>4.16</c:v>
                </c:pt>
                <c:pt idx="4">
                  <c:v>4.33</c:v>
                </c:pt>
                <c:pt idx="5">
                  <c:v>4.59</c:v>
                </c:pt>
                <c:pt idx="6">
                  <c:v>4.63</c:v>
                </c:pt>
                <c:pt idx="7">
                  <c:v>4.68</c:v>
                </c:pt>
                <c:pt idx="8">
                  <c:v>4.39</c:v>
                </c:pt>
                <c:pt idx="9">
                  <c:v>4.5</c:v>
                </c:pt>
                <c:pt idx="10">
                  <c:v>4.45</c:v>
                </c:pt>
                <c:pt idx="11">
                  <c:v>4.45</c:v>
                </c:pt>
              </c:numCache>
            </c:numRef>
          </c:val>
        </c:ser>
        <c:dLbls>
          <c:showLegendKey val="0"/>
          <c:showVal val="0"/>
          <c:showCatName val="0"/>
          <c:showSerName val="0"/>
          <c:showPercent val="0"/>
          <c:showBubbleSize val="0"/>
        </c:dLbls>
        <c:gapWidth val="80"/>
        <c:axId val="386584576"/>
        <c:axId val="386586112"/>
      </c:barChart>
      <c:catAx>
        <c:axId val="38658457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6586112"/>
        <c:crosses val="autoZero"/>
        <c:auto val="1"/>
        <c:lblAlgn val="ctr"/>
        <c:lblOffset val="100"/>
        <c:tickLblSkip val="1"/>
        <c:noMultiLvlLbl val="0"/>
      </c:catAx>
      <c:valAx>
        <c:axId val="386586112"/>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58457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c:formatCode>
                <c:ptCount val="7"/>
                <c:pt idx="0">
                  <c:v>0.5</c:v>
                </c:pt>
                <c:pt idx="1">
                  <c:v>0.588</c:v>
                </c:pt>
                <c:pt idx="2">
                  <c:v>0.243</c:v>
                </c:pt>
                <c:pt idx="3">
                  <c:v>0.124</c:v>
                </c:pt>
                <c:pt idx="4">
                  <c:v>0.155</c:v>
                </c:pt>
                <c:pt idx="5">
                  <c:v>0.310000000000001</c:v>
                </c:pt>
                <c:pt idx="6">
                  <c:v>0.208</c:v>
                </c:pt>
              </c:numCache>
            </c:numRef>
          </c:val>
        </c:ser>
        <c:dLbls>
          <c:showLegendKey val="0"/>
          <c:showVal val="0"/>
          <c:showCatName val="0"/>
          <c:showSerName val="0"/>
          <c:showPercent val="0"/>
          <c:showBubbleSize val="0"/>
        </c:dLbls>
        <c:gapWidth val="80"/>
        <c:axId val="386860544"/>
        <c:axId val="386862080"/>
      </c:barChart>
      <c:catAx>
        <c:axId val="3868605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862080"/>
        <c:crosses val="autoZero"/>
        <c:auto val="1"/>
        <c:lblAlgn val="ctr"/>
        <c:lblOffset val="100"/>
        <c:tickLblSkip val="1"/>
        <c:noMultiLvlLbl val="0"/>
      </c:catAx>
      <c:valAx>
        <c:axId val="3868620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8605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创业课程</c:v>
                </c:pt>
                <c:pt idx="1">
                  <c:v>创业相关讲座</c:v>
                </c:pt>
                <c:pt idx="2">
                  <c:v>创业类学生社团活动</c:v>
                </c:pt>
                <c:pt idx="3">
                  <c:v>创业计划大赛</c:v>
                </c:pt>
                <c:pt idx="4">
                  <c:v>参观创业企业</c:v>
                </c:pt>
                <c:pt idx="5">
                  <c:v>与创业者交流</c:v>
                </c:pt>
                <c:pt idx="6">
                  <c:v>参与创业企业的实习项目</c:v>
                </c:pt>
              </c:strCache>
            </c:strRef>
          </c:cat>
          <c:val>
            <c:numRef>
              <c:f>Sheet1!$B$2:$B$8</c:f>
              <c:numCache>
                <c:formatCode>0.0_);[Red]\(0.0\)</c:formatCode>
                <c:ptCount val="7"/>
                <c:pt idx="0">
                  <c:v>4.42</c:v>
                </c:pt>
                <c:pt idx="1">
                  <c:v>4.28</c:v>
                </c:pt>
                <c:pt idx="2">
                  <c:v>4.6</c:v>
                </c:pt>
                <c:pt idx="3">
                  <c:v>4.64</c:v>
                </c:pt>
                <c:pt idx="4">
                  <c:v>4.71</c:v>
                </c:pt>
                <c:pt idx="5">
                  <c:v>4.59</c:v>
                </c:pt>
                <c:pt idx="6">
                  <c:v>4.6</c:v>
                </c:pt>
              </c:numCache>
            </c:numRef>
          </c:val>
        </c:ser>
        <c:dLbls>
          <c:showLegendKey val="0"/>
          <c:showVal val="0"/>
          <c:showCatName val="0"/>
          <c:showSerName val="0"/>
          <c:showPercent val="0"/>
          <c:showBubbleSize val="0"/>
        </c:dLbls>
        <c:gapWidth val="80"/>
        <c:axId val="386763776"/>
        <c:axId val="386908928"/>
      </c:barChart>
      <c:catAx>
        <c:axId val="3867637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908928"/>
        <c:crosses val="autoZero"/>
        <c:auto val="1"/>
        <c:lblAlgn val="ctr"/>
        <c:lblOffset val="100"/>
        <c:tickLblSkip val="1"/>
        <c:noMultiLvlLbl val="0"/>
      </c:catAx>
      <c:valAx>
        <c:axId val="38690892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7637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上学期间未创业，毕业后也不打算创业</c:v>
                </c:pt>
                <c:pt idx="1">
                  <c:v>上学期间未创业，毕业后打算马上创业</c:v>
                </c:pt>
                <c:pt idx="2">
                  <c:v>上学期间未创业，毕业后打算工作几年再创业</c:v>
                </c:pt>
                <c:pt idx="3">
                  <c:v>上学期间创业了，毕业后打算继续创业</c:v>
                </c:pt>
                <c:pt idx="4">
                  <c:v>上学期间创业了，毕业后打算暂停创业</c:v>
                </c:pt>
              </c:strCache>
            </c:strRef>
          </c:cat>
          <c:val>
            <c:numRef>
              <c:f>Sheet1!$B$2:$B$6</c:f>
              <c:numCache>
                <c:formatCode>0.0%</c:formatCode>
                <c:ptCount val="5"/>
                <c:pt idx="0">
                  <c:v>0.341</c:v>
                </c:pt>
                <c:pt idx="1">
                  <c:v>0.0490000000000001</c:v>
                </c:pt>
                <c:pt idx="2">
                  <c:v>0.469</c:v>
                </c:pt>
                <c:pt idx="3">
                  <c:v>0.106</c:v>
                </c:pt>
                <c:pt idx="4">
                  <c:v>0.035</c:v>
                </c:pt>
              </c:numCache>
            </c:numRef>
          </c:val>
        </c:ser>
        <c:dLbls>
          <c:showLegendKey val="0"/>
          <c:showVal val="0"/>
          <c:showCatName val="0"/>
          <c:showSerName val="0"/>
          <c:showPercent val="0"/>
          <c:showBubbleSize val="0"/>
        </c:dLbls>
        <c:gapWidth val="80"/>
        <c:axId val="386917120"/>
        <c:axId val="386918656"/>
      </c:barChart>
      <c:catAx>
        <c:axId val="3869171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918656"/>
        <c:crosses val="autoZero"/>
        <c:auto val="1"/>
        <c:lblAlgn val="ctr"/>
        <c:lblOffset val="100"/>
        <c:tickLblSkip val="1"/>
        <c:noMultiLvlLbl val="0"/>
      </c:catAx>
      <c:valAx>
        <c:axId val="3869186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9171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信息产业</c:v>
                </c:pt>
                <c:pt idx="1">
                  <c:v>教育及科研行业</c:v>
                </c:pt>
                <c:pt idx="2">
                  <c:v>文化、体育和娱乐业</c:v>
                </c:pt>
                <c:pt idx="3">
                  <c:v>其他行业</c:v>
                </c:pt>
              </c:strCache>
            </c:strRef>
          </c:cat>
          <c:val>
            <c:numRef>
              <c:f>Sheet1!$B$2:$B$5</c:f>
              <c:numCache>
                <c:formatCode>0.0%</c:formatCode>
                <c:ptCount val="4"/>
                <c:pt idx="0">
                  <c:v>0.063</c:v>
                </c:pt>
                <c:pt idx="1">
                  <c:v>0.125</c:v>
                </c:pt>
                <c:pt idx="2">
                  <c:v>0.563</c:v>
                </c:pt>
                <c:pt idx="3">
                  <c:v>0.25</c:v>
                </c:pt>
              </c:numCache>
            </c:numRef>
          </c:val>
        </c:ser>
        <c:dLbls>
          <c:showLegendKey val="0"/>
          <c:showVal val="0"/>
          <c:showCatName val="0"/>
          <c:showSerName val="0"/>
          <c:showPercent val="0"/>
          <c:showBubbleSize val="0"/>
        </c:dLbls>
        <c:gapWidth val="80"/>
        <c:axId val="96539392"/>
        <c:axId val="96540928"/>
      </c:barChart>
      <c:catAx>
        <c:axId val="9653939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540928"/>
        <c:crosses val="autoZero"/>
        <c:auto val="1"/>
        <c:lblAlgn val="ctr"/>
        <c:lblOffset val="100"/>
        <c:tickLblSkip val="1"/>
        <c:noMultiLvlLbl val="0"/>
      </c:catAx>
      <c:valAx>
        <c:axId val="9654092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653939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了解了什么是大学生创业</c:v>
                </c:pt>
                <c:pt idx="1">
                  <c:v>启发了我的创业意识</c:v>
                </c:pt>
                <c:pt idx="2">
                  <c:v>激发了我的创业热情</c:v>
                </c:pt>
                <c:pt idx="3">
                  <c:v>明确了我的创业计划</c:v>
                </c:pt>
                <c:pt idx="4">
                  <c:v>了解了相关创业政策</c:v>
                </c:pt>
                <c:pt idx="5">
                  <c:v>没有任何收获</c:v>
                </c:pt>
              </c:strCache>
            </c:strRef>
          </c:cat>
          <c:val>
            <c:numRef>
              <c:f>Sheet1!$B$2:$B$7</c:f>
              <c:numCache>
                <c:formatCode>0.0%</c:formatCode>
                <c:ptCount val="6"/>
                <c:pt idx="0">
                  <c:v>0.323000000000001</c:v>
                </c:pt>
                <c:pt idx="1">
                  <c:v>0.181</c:v>
                </c:pt>
                <c:pt idx="2">
                  <c:v>0.066</c:v>
                </c:pt>
                <c:pt idx="3">
                  <c:v>0.04</c:v>
                </c:pt>
                <c:pt idx="4">
                  <c:v>0.279</c:v>
                </c:pt>
                <c:pt idx="5">
                  <c:v>0.111</c:v>
                </c:pt>
              </c:numCache>
            </c:numRef>
          </c:val>
        </c:ser>
        <c:dLbls>
          <c:showLegendKey val="0"/>
          <c:showVal val="0"/>
          <c:showCatName val="0"/>
          <c:showSerName val="0"/>
          <c:showPercent val="0"/>
          <c:showBubbleSize val="0"/>
        </c:dLbls>
        <c:gapWidth val="80"/>
        <c:axId val="386734336"/>
        <c:axId val="387043328"/>
      </c:barChart>
      <c:catAx>
        <c:axId val="3867343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043328"/>
        <c:crosses val="autoZero"/>
        <c:auto val="1"/>
        <c:lblAlgn val="ctr"/>
        <c:lblOffset val="100"/>
        <c:tickLblSkip val="1"/>
        <c:noMultiLvlLbl val="0"/>
      </c:catAx>
      <c:valAx>
        <c:axId val="38704332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7343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c:formatCode>
                <c:ptCount val="5"/>
                <c:pt idx="0">
                  <c:v>0.233</c:v>
                </c:pt>
                <c:pt idx="1">
                  <c:v>0.488</c:v>
                </c:pt>
                <c:pt idx="2">
                  <c:v>0.233</c:v>
                </c:pt>
                <c:pt idx="3">
                  <c:v>0.039</c:v>
                </c:pt>
                <c:pt idx="4">
                  <c:v>0.00800000000000002</c:v>
                </c:pt>
              </c:numCache>
            </c:numRef>
          </c:val>
        </c:ser>
        <c:dLbls>
          <c:showLegendKey val="0"/>
          <c:showVal val="0"/>
          <c:showCatName val="0"/>
          <c:showSerName val="0"/>
          <c:showPercent val="0"/>
          <c:showBubbleSize val="0"/>
        </c:dLbls>
        <c:gapWidth val="80"/>
        <c:axId val="386998272"/>
        <c:axId val="386999808"/>
      </c:barChart>
      <c:catAx>
        <c:axId val="38699827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999808"/>
        <c:crosses val="autoZero"/>
        <c:auto val="1"/>
        <c:lblAlgn val="ctr"/>
        <c:lblOffset val="100"/>
        <c:tickLblSkip val="1"/>
        <c:noMultiLvlLbl val="0"/>
      </c:catAx>
      <c:valAx>
        <c:axId val="38699980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99827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4.18</c:v>
                </c:pt>
                <c:pt idx="1">
                  <c:v>4.15</c:v>
                </c:pt>
                <c:pt idx="2">
                  <c:v>4.5</c:v>
                </c:pt>
                <c:pt idx="3">
                  <c:v>3.67</c:v>
                </c:pt>
                <c:pt idx="4">
                  <c:v>3</c:v>
                </c:pt>
                <c:pt idx="5">
                  <c:v>3.25</c:v>
                </c:pt>
                <c:pt idx="6">
                  <c:v>3.33</c:v>
                </c:pt>
                <c:pt idx="7">
                  <c:v>3.14</c:v>
                </c:pt>
                <c:pt idx="8">
                  <c:v>3</c:v>
                </c:pt>
                <c:pt idx="9">
                  <c:v>3.8</c:v>
                </c:pt>
                <c:pt idx="10">
                  <c:v>3.58</c:v>
                </c:pt>
                <c:pt idx="11">
                  <c:v>3.92</c:v>
                </c:pt>
                <c:pt idx="12">
                  <c:v>4.25</c:v>
                </c:pt>
                <c:pt idx="13">
                  <c:v>3.93</c:v>
                </c:pt>
              </c:numCache>
            </c:numRef>
          </c:val>
        </c:ser>
        <c:dLbls>
          <c:showLegendKey val="0"/>
          <c:showVal val="0"/>
          <c:showCatName val="0"/>
          <c:showSerName val="0"/>
          <c:showPercent val="0"/>
          <c:showBubbleSize val="0"/>
        </c:dLbls>
        <c:gapWidth val="80"/>
        <c:axId val="387159552"/>
        <c:axId val="387161088"/>
      </c:barChart>
      <c:catAx>
        <c:axId val="38715955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61088"/>
        <c:crosses val="autoZero"/>
        <c:auto val="1"/>
        <c:lblAlgn val="ctr"/>
        <c:lblOffset val="100"/>
        <c:tickLblSkip val="1"/>
        <c:noMultiLvlLbl val="0"/>
      </c:catAx>
      <c:valAx>
        <c:axId val="387161088"/>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5955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89"/>
          <c:h val="0.761775513354951"/>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机关</c:v>
                </c:pt>
                <c:pt idx="1">
                  <c:v>事业单位</c:v>
                </c:pt>
                <c:pt idx="2">
                  <c:v>国有企业</c:v>
                </c:pt>
                <c:pt idx="3">
                  <c:v>三资企业</c:v>
                </c:pt>
                <c:pt idx="4">
                  <c:v>民营/私营企业</c:v>
                </c:pt>
                <c:pt idx="5">
                  <c:v>其他</c:v>
                </c:pt>
              </c:strCache>
            </c:strRef>
          </c:cat>
          <c:val>
            <c:numRef>
              <c:f>Sheet1!$B$2:$B$7</c:f>
              <c:numCache>
                <c:formatCode>0.0%</c:formatCode>
                <c:ptCount val="6"/>
                <c:pt idx="0">
                  <c:v>0.07</c:v>
                </c:pt>
                <c:pt idx="1">
                  <c:v>0.209</c:v>
                </c:pt>
                <c:pt idx="2">
                  <c:v>0.078</c:v>
                </c:pt>
                <c:pt idx="3">
                  <c:v>0.00800000000000002</c:v>
                </c:pt>
                <c:pt idx="4">
                  <c:v>0.349</c:v>
                </c:pt>
                <c:pt idx="5">
                  <c:v>0.287</c:v>
                </c:pt>
              </c:numCache>
            </c:numRef>
          </c:val>
        </c:ser>
        <c:ser>
          <c:idx val="1"/>
          <c:order val="1"/>
          <c:tx>
            <c:strRef>
              <c:f>Sheet1!$C$1</c:f>
              <c:strCache>
                <c:ptCount val="1"/>
                <c:pt idx="0">
                  <c:v>最终落实</c:v>
                </c:pt>
              </c:strCache>
            </c:strRef>
          </c:tx>
          <c:invertIfNegative val="0"/>
          <c:dLbls>
            <c:dLbl>
              <c:idx val="1"/>
              <c:layout>
                <c:manualLayout>
                  <c:x val="-4.2437781360067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机关</c:v>
                </c:pt>
                <c:pt idx="1">
                  <c:v>事业单位</c:v>
                </c:pt>
                <c:pt idx="2">
                  <c:v>国有企业</c:v>
                </c:pt>
                <c:pt idx="3">
                  <c:v>三资企业</c:v>
                </c:pt>
                <c:pt idx="4">
                  <c:v>民营/私营企业</c:v>
                </c:pt>
                <c:pt idx="5">
                  <c:v>其他</c:v>
                </c:pt>
              </c:strCache>
            </c:strRef>
          </c:cat>
          <c:val>
            <c:numRef>
              <c:f>Sheet1!$C$2:$C$7</c:f>
              <c:numCache>
                <c:formatCode>0.0%</c:formatCode>
                <c:ptCount val="6"/>
                <c:pt idx="0">
                  <c:v>0.048</c:v>
                </c:pt>
                <c:pt idx="1">
                  <c:v>0.194</c:v>
                </c:pt>
                <c:pt idx="2">
                  <c:v>0.073</c:v>
                </c:pt>
                <c:pt idx="3">
                  <c:v>0.00800000000000002</c:v>
                </c:pt>
                <c:pt idx="4">
                  <c:v>0.444</c:v>
                </c:pt>
                <c:pt idx="5">
                  <c:v>0.234</c:v>
                </c:pt>
              </c:numCache>
            </c:numRef>
          </c:val>
        </c:ser>
        <c:dLbls>
          <c:showLegendKey val="0"/>
          <c:showVal val="0"/>
          <c:showCatName val="0"/>
          <c:showSerName val="0"/>
          <c:showPercent val="0"/>
          <c:showBubbleSize val="0"/>
        </c:dLbls>
        <c:gapWidth val="80"/>
        <c:axId val="387122304"/>
        <c:axId val="387123840"/>
      </c:barChart>
      <c:catAx>
        <c:axId val="387122304"/>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23840"/>
        <c:crosses val="autoZero"/>
        <c:auto val="1"/>
        <c:lblAlgn val="ctr"/>
        <c:lblOffset val="100"/>
        <c:tickLblSkip val="1"/>
        <c:noMultiLvlLbl val="0"/>
      </c:catAx>
      <c:valAx>
        <c:axId val="38712384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22304"/>
        <c:crosses val="autoZero"/>
        <c:crossBetween val="between"/>
      </c:valAx>
      <c:spPr>
        <a:solidFill>
          <a:schemeClr val="bg1"/>
        </a:solidFill>
        <a:ln>
          <a:noFill/>
        </a:ln>
        <a:effectLst/>
      </c:spPr>
    </c:plotArea>
    <c:legend>
      <c:legendPos val="r"/>
      <c:layout>
        <c:manualLayout>
          <c:xMode val="edge"/>
          <c:yMode val="edge"/>
          <c:x val="0.83311314592463"/>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89"/>
          <c:h val="0.761775513354951"/>
        </c:manualLayout>
      </c:layout>
      <c:barChart>
        <c:barDir val="col"/>
        <c:grouping val="clustered"/>
        <c:varyColors val="0"/>
        <c:ser>
          <c:idx val="0"/>
          <c:order val="0"/>
          <c:tx>
            <c:strRef>
              <c:f>Sheet1!$B$1</c:f>
              <c:strCache>
                <c:ptCount val="1"/>
                <c:pt idx="0">
                  <c:v>期望首选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农、林、牧、渔业</c:v>
                </c:pt>
                <c:pt idx="1">
                  <c:v>商业服务业</c:v>
                </c:pt>
                <c:pt idx="2">
                  <c:v>教育及科研行业</c:v>
                </c:pt>
                <c:pt idx="3">
                  <c:v>文化、体育和娱乐业</c:v>
                </c:pt>
                <c:pt idx="4">
                  <c:v>社会服务与管理行业</c:v>
                </c:pt>
                <c:pt idx="5">
                  <c:v>其他行业</c:v>
                </c:pt>
              </c:strCache>
            </c:strRef>
          </c:cat>
          <c:val>
            <c:numRef>
              <c:f>Sheet1!$B$2:$B$7</c:f>
              <c:numCache>
                <c:formatCode>0.0%</c:formatCode>
                <c:ptCount val="6"/>
                <c:pt idx="0">
                  <c:v>0</c:v>
                </c:pt>
                <c:pt idx="1">
                  <c:v>0</c:v>
                </c:pt>
                <c:pt idx="2">
                  <c:v>0.016</c:v>
                </c:pt>
                <c:pt idx="3">
                  <c:v>0.798</c:v>
                </c:pt>
                <c:pt idx="4">
                  <c:v>0.023</c:v>
                </c:pt>
                <c:pt idx="5">
                  <c:v>0.163</c:v>
                </c:pt>
              </c:numCache>
            </c:numRef>
          </c:val>
        </c:ser>
        <c:ser>
          <c:idx val="1"/>
          <c:order val="1"/>
          <c:tx>
            <c:strRef>
              <c:f>Sheet1!$C$1</c:f>
              <c:strCache>
                <c:ptCount val="1"/>
                <c:pt idx="0">
                  <c:v>最终落实</c:v>
                </c:pt>
              </c:strCache>
            </c:strRef>
          </c:tx>
          <c:invertIfNegative val="0"/>
          <c:dLbls>
            <c:dLbl>
              <c:idx val="1"/>
              <c:layout>
                <c:manualLayout>
                  <c:x val="-4.2437781360067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农、林、牧、渔业</c:v>
                </c:pt>
                <c:pt idx="1">
                  <c:v>商业服务业</c:v>
                </c:pt>
                <c:pt idx="2">
                  <c:v>教育及科研行业</c:v>
                </c:pt>
                <c:pt idx="3">
                  <c:v>文化、体育和娱乐业</c:v>
                </c:pt>
                <c:pt idx="4">
                  <c:v>社会服务与管理行业</c:v>
                </c:pt>
                <c:pt idx="5">
                  <c:v>其他行业</c:v>
                </c:pt>
              </c:strCache>
            </c:strRef>
          </c:cat>
          <c:val>
            <c:numRef>
              <c:f>Sheet1!$C$2:$C$7</c:f>
              <c:numCache>
                <c:formatCode>0.0%</c:formatCode>
                <c:ptCount val="6"/>
                <c:pt idx="0">
                  <c:v>0.00800000000000002</c:v>
                </c:pt>
                <c:pt idx="1">
                  <c:v>0.00800000000000002</c:v>
                </c:pt>
                <c:pt idx="2">
                  <c:v>0.032</c:v>
                </c:pt>
                <c:pt idx="3">
                  <c:v>0.79</c:v>
                </c:pt>
                <c:pt idx="4">
                  <c:v>0.032</c:v>
                </c:pt>
                <c:pt idx="5">
                  <c:v>0.129</c:v>
                </c:pt>
              </c:numCache>
            </c:numRef>
          </c:val>
        </c:ser>
        <c:dLbls>
          <c:showLegendKey val="0"/>
          <c:showVal val="0"/>
          <c:showCatName val="0"/>
          <c:showSerName val="0"/>
          <c:showPercent val="0"/>
          <c:showBubbleSize val="0"/>
        </c:dLbls>
        <c:gapWidth val="80"/>
        <c:axId val="387286144"/>
        <c:axId val="387287680"/>
      </c:barChart>
      <c:catAx>
        <c:axId val="387286144"/>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287680"/>
        <c:crosses val="autoZero"/>
        <c:auto val="1"/>
        <c:lblAlgn val="ctr"/>
        <c:lblOffset val="100"/>
        <c:tickLblSkip val="1"/>
        <c:noMultiLvlLbl val="0"/>
      </c:catAx>
      <c:valAx>
        <c:axId val="38728768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286144"/>
        <c:crosses val="autoZero"/>
        <c:crossBetween val="between"/>
      </c:valAx>
      <c:spPr>
        <a:solidFill>
          <a:schemeClr val="bg1"/>
        </a:solidFill>
        <a:ln>
          <a:noFill/>
        </a:ln>
        <a:effectLst/>
      </c:spPr>
    </c:plotArea>
    <c:legend>
      <c:legendPos val="r"/>
      <c:layout>
        <c:manualLayout>
          <c:xMode val="edge"/>
          <c:yMode val="edge"/>
          <c:x val="0.83311314592463"/>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期望年薪</c:v>
                </c:pt>
                <c:pt idx="1">
                  <c:v>最终落实</c:v>
                </c:pt>
              </c:strCache>
            </c:strRef>
          </c:cat>
          <c:val>
            <c:numRef>
              <c:f>Sheet1!$B$2:$B$3</c:f>
              <c:numCache>
                <c:formatCode>0.0_);[Red]\(0.0\)</c:formatCode>
                <c:ptCount val="2"/>
                <c:pt idx="0">
                  <c:v>13.5</c:v>
                </c:pt>
                <c:pt idx="1">
                  <c:v>9.78</c:v>
                </c:pt>
              </c:numCache>
            </c:numRef>
          </c:val>
        </c:ser>
        <c:dLbls>
          <c:showLegendKey val="0"/>
          <c:showVal val="0"/>
          <c:showCatName val="0"/>
          <c:showSerName val="0"/>
          <c:showPercent val="0"/>
          <c:showBubbleSize val="0"/>
        </c:dLbls>
        <c:gapWidth val="80"/>
        <c:axId val="387410944"/>
        <c:axId val="387412736"/>
      </c:barChart>
      <c:catAx>
        <c:axId val="3874109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412736"/>
        <c:crosses val="autoZero"/>
        <c:auto val="1"/>
        <c:lblAlgn val="ctr"/>
        <c:lblOffset val="100"/>
        <c:tickLblSkip val="1"/>
        <c:noMultiLvlLbl val="0"/>
      </c:catAx>
      <c:valAx>
        <c:axId val="38741273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4109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556495655435"/>
          <c:y val="0.0458213771565802"/>
          <c:w val="0.741562576417078"/>
          <c:h val="0.694803409582056"/>
        </c:manualLayout>
      </c:layout>
      <c:barChart>
        <c:barDir val="col"/>
        <c:grouping val="clustered"/>
        <c:varyColors val="0"/>
        <c:ser>
          <c:idx val="0"/>
          <c:order val="0"/>
          <c:tx>
            <c:strRef>
              <c:f>Sheet1!$A$2</c:f>
              <c:strCache>
                <c:ptCount val="1"/>
                <c:pt idx="0">
                  <c:v>期望年薪</c:v>
                </c:pt>
              </c:strCache>
            </c:strRef>
          </c:tx>
          <c:invertIfNegative val="0"/>
          <c:dLbls>
            <c:dLbl>
              <c:idx val="1"/>
              <c:layout>
                <c:manualLayout>
                  <c:x val="0"/>
                  <c:y val="-0.01650846058605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20703933747412"/>
                  <c:y val="-0.02476269087907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Sheet1!$B$1:$O$1</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Sheet1!$B$2:$O$2</c:f>
              <c:numCache>
                <c:formatCode>0.00_);[Red]\(0.00\)</c:formatCode>
                <c:ptCount val="14"/>
                <c:pt idx="0">
                  <c:v>17.66</c:v>
                </c:pt>
                <c:pt idx="1">
                  <c:v>12.5</c:v>
                </c:pt>
                <c:pt idx="2">
                  <c:v>16.67</c:v>
                </c:pt>
                <c:pt idx="3">
                  <c:v>8.5</c:v>
                </c:pt>
                <c:pt idx="4">
                  <c:v>26</c:v>
                </c:pt>
                <c:pt idx="5">
                  <c:v>17</c:v>
                </c:pt>
                <c:pt idx="6">
                  <c:v>8.33</c:v>
                </c:pt>
                <c:pt idx="7">
                  <c:v>6.43</c:v>
                </c:pt>
                <c:pt idx="8">
                  <c:v>1.6</c:v>
                </c:pt>
                <c:pt idx="9">
                  <c:v>18.5</c:v>
                </c:pt>
                <c:pt idx="10">
                  <c:v>10.75</c:v>
                </c:pt>
                <c:pt idx="11">
                  <c:v>7.78</c:v>
                </c:pt>
                <c:pt idx="12">
                  <c:v>8.27</c:v>
                </c:pt>
                <c:pt idx="13">
                  <c:v>13</c:v>
                </c:pt>
              </c:numCache>
            </c:numRef>
          </c:val>
        </c:ser>
        <c:ser>
          <c:idx val="1"/>
          <c:order val="1"/>
          <c:tx>
            <c:strRef>
              <c:f>Sheet1!$A$3</c:f>
              <c:strCache>
                <c:ptCount val="1"/>
                <c:pt idx="0">
                  <c:v>最终落实</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Sheet1!$B$1:$O$1</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Sheet1!$B$3:$O$3</c:f>
              <c:numCache>
                <c:formatCode>0.00_);[Red]\(0.00\)</c:formatCode>
                <c:ptCount val="14"/>
                <c:pt idx="0">
                  <c:v>11.86</c:v>
                </c:pt>
                <c:pt idx="1">
                  <c:v>10.54</c:v>
                </c:pt>
                <c:pt idx="2">
                  <c:v>10.33</c:v>
                </c:pt>
                <c:pt idx="3">
                  <c:v>5.67</c:v>
                </c:pt>
                <c:pt idx="4">
                  <c:v>13.33</c:v>
                </c:pt>
                <c:pt idx="5">
                  <c:v>12.33</c:v>
                </c:pt>
                <c:pt idx="6">
                  <c:v>6.33</c:v>
                </c:pt>
                <c:pt idx="7">
                  <c:v>8.43</c:v>
                </c:pt>
                <c:pt idx="8">
                  <c:v>1.2</c:v>
                </c:pt>
                <c:pt idx="9">
                  <c:v>13</c:v>
                </c:pt>
                <c:pt idx="10">
                  <c:v>8.25</c:v>
                </c:pt>
                <c:pt idx="11">
                  <c:v>6.2</c:v>
                </c:pt>
                <c:pt idx="12">
                  <c:v>7.5</c:v>
                </c:pt>
                <c:pt idx="13">
                  <c:v>8.94</c:v>
                </c:pt>
              </c:numCache>
            </c:numRef>
          </c:val>
        </c:ser>
        <c:dLbls>
          <c:showLegendKey val="0"/>
          <c:showVal val="0"/>
          <c:showCatName val="0"/>
          <c:showSerName val="0"/>
          <c:showPercent val="0"/>
          <c:showBubbleSize val="0"/>
        </c:dLbls>
        <c:gapWidth val="150"/>
        <c:axId val="387111936"/>
        <c:axId val="387367680"/>
      </c:barChart>
      <c:catAx>
        <c:axId val="387111936"/>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367680"/>
        <c:crosses val="autoZero"/>
        <c:auto val="1"/>
        <c:lblAlgn val="ctr"/>
        <c:lblOffset val="100"/>
        <c:tickLblSkip val="1"/>
        <c:noMultiLvlLbl val="0"/>
      </c:catAx>
      <c:valAx>
        <c:axId val="387367680"/>
        <c:scaling>
          <c:orientation val="minMax"/>
        </c:scaling>
        <c:delete val="0"/>
        <c:axPos val="l"/>
        <c:majorGridlines/>
        <c:numFmt formatCode="#,##0.00_);\(#,##0.0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11936"/>
        <c:crosses val="autoZero"/>
        <c:crossBetween val="between"/>
      </c:valAx>
      <c:spPr>
        <a:solidFill>
          <a:schemeClr val="bg1"/>
        </a:solidFill>
        <a:ln>
          <a:noFill/>
        </a:ln>
        <a:effectLst/>
      </c:spPr>
    </c:plotArea>
    <c:legend>
      <c:legendPos val="r"/>
      <c:layout>
        <c:manualLayout>
          <c:xMode val="edge"/>
          <c:yMode val="edge"/>
          <c:x val="0.848893399194666"/>
          <c:y val="0.0522184056336747"/>
          <c:w val="0.138684240556887"/>
          <c:h val="0.87492761300009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有五险</c:v>
                </c:pt>
                <c:pt idx="1">
                  <c:v>五险不全</c:v>
                </c:pt>
                <c:pt idx="2">
                  <c:v>没有五险</c:v>
                </c:pt>
              </c:strCache>
            </c:strRef>
          </c:cat>
          <c:val>
            <c:numRef>
              <c:f>Sheet1!$B$2:$B$4</c:f>
              <c:numCache>
                <c:formatCode>0.0%</c:formatCode>
                <c:ptCount val="3"/>
                <c:pt idx="0">
                  <c:v>0.659000000000002</c:v>
                </c:pt>
                <c:pt idx="1">
                  <c:v>0.087</c:v>
                </c:pt>
                <c:pt idx="2">
                  <c:v>0.254</c:v>
                </c:pt>
              </c:numCache>
            </c:numRef>
          </c:val>
        </c:ser>
        <c:dLbls>
          <c:showLegendKey val="0"/>
          <c:showVal val="0"/>
          <c:showCatName val="0"/>
          <c:showSerName val="0"/>
          <c:showPercent val="0"/>
          <c:showBubbleSize val="0"/>
        </c:dLbls>
        <c:gapWidth val="80"/>
        <c:axId val="387679360"/>
        <c:axId val="387680896"/>
      </c:barChart>
      <c:catAx>
        <c:axId val="3876793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80896"/>
        <c:crosses val="autoZero"/>
        <c:auto val="1"/>
        <c:lblAlgn val="ctr"/>
        <c:lblOffset val="100"/>
        <c:tickLblSkip val="1"/>
        <c:noMultiLvlLbl val="0"/>
      </c:catAx>
      <c:valAx>
        <c:axId val="3876808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6793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42341349153"/>
          <c:y val="0.039644371260172"/>
          <c:w val="0.514611793678555"/>
          <c:h val="0.910672178899127"/>
        </c:manualLayout>
      </c:layout>
      <c:barChart>
        <c:barDir val="bar"/>
        <c:grouping val="clustered"/>
        <c:varyColors val="0"/>
        <c:ser>
          <c:idx val="0"/>
          <c:order val="0"/>
          <c:tx>
            <c:strRef>
              <c:f>Sheet1!$B$1</c:f>
              <c:strCache>
                <c:ptCount val="1"/>
                <c:pt idx="0">
                  <c:v>有五险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c:formatCode>
                <c:ptCount val="14"/>
                <c:pt idx="0">
                  <c:v>0.548</c:v>
                </c:pt>
                <c:pt idx="1">
                  <c:v>0.846000000000001</c:v>
                </c:pt>
                <c:pt idx="2">
                  <c:v>0.25</c:v>
                </c:pt>
                <c:pt idx="3">
                  <c:v>1</c:v>
                </c:pt>
                <c:pt idx="4">
                  <c:v>0.333000000000001</c:v>
                </c:pt>
                <c:pt idx="5">
                  <c:v>0.750000000000001</c:v>
                </c:pt>
                <c:pt idx="6">
                  <c:v>0.333000000000001</c:v>
                </c:pt>
                <c:pt idx="7">
                  <c:v>0.429</c:v>
                </c:pt>
                <c:pt idx="8">
                  <c:v>1</c:v>
                </c:pt>
                <c:pt idx="9">
                  <c:v>0.5</c:v>
                </c:pt>
                <c:pt idx="10">
                  <c:v>0.750000000000001</c:v>
                </c:pt>
                <c:pt idx="11">
                  <c:v>0.692</c:v>
                </c:pt>
                <c:pt idx="12">
                  <c:v>0.750000000000001</c:v>
                </c:pt>
                <c:pt idx="13">
                  <c:v>0.929</c:v>
                </c:pt>
              </c:numCache>
            </c:numRef>
          </c:val>
        </c:ser>
        <c:ser>
          <c:idx val="1"/>
          <c:order val="1"/>
          <c:tx>
            <c:strRef>
              <c:f>Sheet1!$C$1</c:f>
              <c:strCache>
                <c:ptCount val="1"/>
                <c:pt idx="0">
                  <c:v>五险不全</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Sheet1!$C$2:$C$15</c:f>
              <c:numCache>
                <c:formatCode>0.0%</c:formatCode>
                <c:ptCount val="14"/>
                <c:pt idx="0">
                  <c:v>0.065</c:v>
                </c:pt>
                <c:pt idx="1">
                  <c:v>0.154</c:v>
                </c:pt>
                <c:pt idx="2">
                  <c:v>0.5</c:v>
                </c:pt>
                <c:pt idx="3">
                  <c:v>0</c:v>
                </c:pt>
                <c:pt idx="4">
                  <c:v>0</c:v>
                </c:pt>
                <c:pt idx="5">
                  <c:v>0</c:v>
                </c:pt>
                <c:pt idx="6">
                  <c:v>0</c:v>
                </c:pt>
                <c:pt idx="7">
                  <c:v>0.143</c:v>
                </c:pt>
                <c:pt idx="8">
                  <c:v>0</c:v>
                </c:pt>
                <c:pt idx="9">
                  <c:v>0.1</c:v>
                </c:pt>
                <c:pt idx="10">
                  <c:v>0</c:v>
                </c:pt>
                <c:pt idx="11">
                  <c:v>0.154</c:v>
                </c:pt>
                <c:pt idx="12">
                  <c:v>0.125</c:v>
                </c:pt>
                <c:pt idx="13">
                  <c:v>0</c:v>
                </c:pt>
              </c:numCache>
            </c:numRef>
          </c:val>
        </c:ser>
        <c:ser>
          <c:idx val="2"/>
          <c:order val="2"/>
          <c:tx>
            <c:strRef>
              <c:f>Sheet1!$D$1</c:f>
              <c:strCache>
                <c:ptCount val="1"/>
                <c:pt idx="0">
                  <c:v>没有五险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Sheet1!$D$2:$D$15</c:f>
              <c:numCache>
                <c:formatCode>0.0%</c:formatCode>
                <c:ptCount val="14"/>
                <c:pt idx="0">
                  <c:v>0.387000000000001</c:v>
                </c:pt>
                <c:pt idx="1">
                  <c:v>0</c:v>
                </c:pt>
                <c:pt idx="2">
                  <c:v>0.25</c:v>
                </c:pt>
                <c:pt idx="3">
                  <c:v>0</c:v>
                </c:pt>
                <c:pt idx="4">
                  <c:v>0.667000000000002</c:v>
                </c:pt>
                <c:pt idx="5">
                  <c:v>0.25</c:v>
                </c:pt>
                <c:pt idx="6">
                  <c:v>0.667000000000002</c:v>
                </c:pt>
                <c:pt idx="7">
                  <c:v>0.429</c:v>
                </c:pt>
                <c:pt idx="8">
                  <c:v>0</c:v>
                </c:pt>
                <c:pt idx="9">
                  <c:v>0.4</c:v>
                </c:pt>
                <c:pt idx="10">
                  <c:v>0.25</c:v>
                </c:pt>
                <c:pt idx="11">
                  <c:v>0.154</c:v>
                </c:pt>
                <c:pt idx="12">
                  <c:v>0.125</c:v>
                </c:pt>
                <c:pt idx="13">
                  <c:v>0.071</c:v>
                </c:pt>
              </c:numCache>
            </c:numRef>
          </c:val>
        </c:ser>
        <c:dLbls>
          <c:showLegendKey val="0"/>
          <c:showVal val="0"/>
          <c:showCatName val="0"/>
          <c:showSerName val="0"/>
          <c:showPercent val="0"/>
          <c:showBubbleSize val="0"/>
        </c:dLbls>
        <c:gapWidth val="150"/>
        <c:axId val="387737088"/>
        <c:axId val="387738624"/>
      </c:barChart>
      <c:catAx>
        <c:axId val="387737088"/>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7738624"/>
        <c:crosses val="autoZero"/>
        <c:auto val="0"/>
        <c:lblAlgn val="ctr"/>
        <c:lblOffset val="100"/>
        <c:tickLblSkip val="1"/>
        <c:noMultiLvlLbl val="0"/>
      </c:catAx>
      <c:valAx>
        <c:axId val="387738624"/>
        <c:scaling>
          <c:orientation val="minMax"/>
        </c:scaling>
        <c:delete val="0"/>
        <c:axPos val="t"/>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7370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有</c:v>
                </c:pt>
                <c:pt idx="1">
                  <c:v>没有</c:v>
                </c:pt>
              </c:strCache>
            </c:strRef>
          </c:cat>
          <c:val>
            <c:numRef>
              <c:f>Sheet1!$B$2:$B$3</c:f>
              <c:numCache>
                <c:formatCode>0.0%</c:formatCode>
                <c:ptCount val="2"/>
                <c:pt idx="0">
                  <c:v>0.56</c:v>
                </c:pt>
                <c:pt idx="1">
                  <c:v>0.44</c:v>
                </c:pt>
              </c:numCache>
            </c:numRef>
          </c:val>
        </c:ser>
        <c:dLbls>
          <c:showLegendKey val="0"/>
          <c:showVal val="0"/>
          <c:showCatName val="0"/>
          <c:showSerName val="0"/>
          <c:showPercent val="0"/>
          <c:showBubbleSize val="0"/>
        </c:dLbls>
        <c:gapWidth val="80"/>
        <c:axId val="387771776"/>
        <c:axId val="387482752"/>
      </c:barChart>
      <c:catAx>
        <c:axId val="3877717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482752"/>
        <c:crosses val="autoZero"/>
        <c:auto val="1"/>
        <c:lblAlgn val="ctr"/>
        <c:lblOffset val="100"/>
        <c:tickLblSkip val="1"/>
        <c:noMultiLvlLbl val="0"/>
      </c:catAx>
      <c:valAx>
        <c:axId val="38748275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7717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很相关</c:v>
                </c:pt>
                <c:pt idx="1">
                  <c:v>相关</c:v>
                </c:pt>
                <c:pt idx="2">
                  <c:v>不好说</c:v>
                </c:pt>
              </c:strCache>
            </c:strRef>
          </c:cat>
          <c:val>
            <c:numRef>
              <c:f>Sheet1!$B$2:$B$4</c:f>
              <c:numCache>
                <c:formatCode>0.0%</c:formatCode>
                <c:ptCount val="3"/>
                <c:pt idx="0">
                  <c:v>0.375000000000001</c:v>
                </c:pt>
                <c:pt idx="1">
                  <c:v>0.563</c:v>
                </c:pt>
                <c:pt idx="2">
                  <c:v>0.063</c:v>
                </c:pt>
              </c:numCache>
            </c:numRef>
          </c:val>
        </c:ser>
        <c:dLbls>
          <c:showLegendKey val="0"/>
          <c:showVal val="0"/>
          <c:showCatName val="0"/>
          <c:showSerName val="0"/>
          <c:showPercent val="0"/>
          <c:showBubbleSize val="0"/>
        </c:dLbls>
        <c:gapWidth val="80"/>
        <c:axId val="176785664"/>
        <c:axId val="176787456"/>
      </c:barChart>
      <c:catAx>
        <c:axId val="1767856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6787456"/>
        <c:crosses val="autoZero"/>
        <c:auto val="1"/>
        <c:lblAlgn val="ctr"/>
        <c:lblOffset val="100"/>
        <c:tickLblSkip val="1"/>
        <c:noMultiLvlLbl val="0"/>
      </c:catAx>
      <c:valAx>
        <c:axId val="17678745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67856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42341349153"/>
          <c:y val="0.039644371260172"/>
          <c:w val="0.514611793678555"/>
          <c:h val="0.910672178899127"/>
        </c:manualLayout>
      </c:layout>
      <c:barChart>
        <c:barDir val="bar"/>
        <c:grouping val="clustered"/>
        <c:varyColors val="0"/>
        <c:ser>
          <c:idx val="0"/>
          <c:order val="0"/>
          <c:tx>
            <c:strRef>
              <c:f>Sheet1!$B$1</c:f>
              <c:strCache>
                <c:ptCount val="1"/>
                <c:pt idx="0">
                  <c:v>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c:formatCode>
                <c:ptCount val="14"/>
                <c:pt idx="0">
                  <c:v>0.467</c:v>
                </c:pt>
                <c:pt idx="1">
                  <c:v>0.769000000000001</c:v>
                </c:pt>
                <c:pt idx="2">
                  <c:v>0.25</c:v>
                </c:pt>
                <c:pt idx="3">
                  <c:v>1</c:v>
                </c:pt>
                <c:pt idx="4">
                  <c:v>0.333000000000001</c:v>
                </c:pt>
                <c:pt idx="5">
                  <c:v>0.750000000000001</c:v>
                </c:pt>
                <c:pt idx="6">
                  <c:v>0.333000000000001</c:v>
                </c:pt>
                <c:pt idx="7">
                  <c:v>0.286</c:v>
                </c:pt>
                <c:pt idx="8">
                  <c:v>0</c:v>
                </c:pt>
                <c:pt idx="9">
                  <c:v>0.3</c:v>
                </c:pt>
                <c:pt idx="10">
                  <c:v>0.583</c:v>
                </c:pt>
                <c:pt idx="11">
                  <c:v>0.692</c:v>
                </c:pt>
                <c:pt idx="12">
                  <c:v>0.625000000000001</c:v>
                </c:pt>
                <c:pt idx="13">
                  <c:v>0.786</c:v>
                </c:pt>
              </c:numCache>
            </c:numRef>
          </c:val>
        </c:ser>
        <c:ser>
          <c:idx val="1"/>
          <c:order val="1"/>
          <c:tx>
            <c:strRef>
              <c:f>Sheet1!$C$1</c:f>
              <c:strCache>
                <c:ptCount val="1"/>
                <c:pt idx="0">
                  <c:v>没有</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Sheet1!$C$2:$C$15</c:f>
              <c:numCache>
                <c:formatCode>0.0%</c:formatCode>
                <c:ptCount val="14"/>
                <c:pt idx="0">
                  <c:v>0.533</c:v>
                </c:pt>
                <c:pt idx="1">
                  <c:v>0.231</c:v>
                </c:pt>
                <c:pt idx="2">
                  <c:v>0.750000000000001</c:v>
                </c:pt>
                <c:pt idx="3">
                  <c:v>0</c:v>
                </c:pt>
                <c:pt idx="4">
                  <c:v>0.667000000000002</c:v>
                </c:pt>
                <c:pt idx="5">
                  <c:v>0.25</c:v>
                </c:pt>
                <c:pt idx="6">
                  <c:v>0.667000000000002</c:v>
                </c:pt>
                <c:pt idx="7">
                  <c:v>0.714000000000001</c:v>
                </c:pt>
                <c:pt idx="8">
                  <c:v>1</c:v>
                </c:pt>
                <c:pt idx="9">
                  <c:v>0.700000000000001</c:v>
                </c:pt>
                <c:pt idx="10">
                  <c:v>0.417</c:v>
                </c:pt>
                <c:pt idx="11">
                  <c:v>0.308</c:v>
                </c:pt>
                <c:pt idx="12">
                  <c:v>0.375000000000001</c:v>
                </c:pt>
                <c:pt idx="13">
                  <c:v>0.214</c:v>
                </c:pt>
              </c:numCache>
            </c:numRef>
          </c:val>
        </c:ser>
        <c:dLbls>
          <c:showLegendKey val="0"/>
          <c:showVal val="0"/>
          <c:showCatName val="0"/>
          <c:showSerName val="0"/>
          <c:showPercent val="0"/>
          <c:showBubbleSize val="0"/>
        </c:dLbls>
        <c:gapWidth val="150"/>
        <c:axId val="387975424"/>
        <c:axId val="387985408"/>
      </c:barChart>
      <c:catAx>
        <c:axId val="387975424"/>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387985408"/>
        <c:crosses val="autoZero"/>
        <c:auto val="0"/>
        <c:lblAlgn val="ctr"/>
        <c:lblOffset val="100"/>
        <c:tickLblSkip val="1"/>
        <c:noMultiLvlLbl val="0"/>
      </c:catAx>
      <c:valAx>
        <c:axId val="387985408"/>
        <c:scaling>
          <c:orientation val="minMax"/>
        </c:scaling>
        <c:delete val="0"/>
        <c:axPos val="t"/>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9754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很大</c:v>
                </c:pt>
                <c:pt idx="1">
                  <c:v>大</c:v>
                </c:pt>
                <c:pt idx="2">
                  <c:v>不好说</c:v>
                </c:pt>
                <c:pt idx="3">
                  <c:v>小</c:v>
                </c:pt>
                <c:pt idx="4">
                  <c:v>很小</c:v>
                </c:pt>
              </c:strCache>
            </c:strRef>
          </c:cat>
          <c:val>
            <c:numRef>
              <c:f>Sheet1!$B$2:$B$6</c:f>
              <c:numCache>
                <c:formatCode>0.0%</c:formatCode>
                <c:ptCount val="5"/>
                <c:pt idx="0">
                  <c:v>0.202</c:v>
                </c:pt>
                <c:pt idx="1">
                  <c:v>0.326000000000001</c:v>
                </c:pt>
                <c:pt idx="2">
                  <c:v>0.434000000000001</c:v>
                </c:pt>
                <c:pt idx="3">
                  <c:v>0.016</c:v>
                </c:pt>
                <c:pt idx="4">
                  <c:v>0.023</c:v>
                </c:pt>
              </c:numCache>
            </c:numRef>
          </c:val>
        </c:ser>
        <c:dLbls>
          <c:showLegendKey val="0"/>
          <c:showVal val="0"/>
          <c:showCatName val="0"/>
          <c:showSerName val="0"/>
          <c:showPercent val="0"/>
          <c:showBubbleSize val="0"/>
        </c:dLbls>
        <c:gapWidth val="80"/>
        <c:axId val="387711360"/>
        <c:axId val="387712896"/>
      </c:barChart>
      <c:catAx>
        <c:axId val="3877113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712896"/>
        <c:crosses val="autoZero"/>
        <c:auto val="1"/>
        <c:lblAlgn val="ctr"/>
        <c:lblOffset val="100"/>
        <c:tickLblSkip val="1"/>
        <c:noMultiLvlLbl val="0"/>
      </c:catAx>
      <c:valAx>
        <c:axId val="3877128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7113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3.91</c:v>
                </c:pt>
                <c:pt idx="1">
                  <c:v>3.77</c:v>
                </c:pt>
                <c:pt idx="2">
                  <c:v>3.75</c:v>
                </c:pt>
                <c:pt idx="3">
                  <c:v>3.67</c:v>
                </c:pt>
                <c:pt idx="4">
                  <c:v>2.67</c:v>
                </c:pt>
                <c:pt idx="5">
                  <c:v>4</c:v>
                </c:pt>
                <c:pt idx="6">
                  <c:v>3.33</c:v>
                </c:pt>
                <c:pt idx="7">
                  <c:v>3</c:v>
                </c:pt>
                <c:pt idx="8">
                  <c:v>3</c:v>
                </c:pt>
                <c:pt idx="9">
                  <c:v>3.6</c:v>
                </c:pt>
                <c:pt idx="10">
                  <c:v>3.42</c:v>
                </c:pt>
                <c:pt idx="11">
                  <c:v>3.46</c:v>
                </c:pt>
                <c:pt idx="12">
                  <c:v>4.25</c:v>
                </c:pt>
                <c:pt idx="13">
                  <c:v>3.64</c:v>
                </c:pt>
              </c:numCache>
            </c:numRef>
          </c:val>
        </c:ser>
        <c:dLbls>
          <c:showLegendKey val="0"/>
          <c:showVal val="0"/>
          <c:showCatName val="0"/>
          <c:showSerName val="0"/>
          <c:showPercent val="0"/>
          <c:showBubbleSize val="0"/>
        </c:dLbls>
        <c:gapWidth val="80"/>
        <c:axId val="388036480"/>
        <c:axId val="388038016"/>
      </c:barChart>
      <c:catAx>
        <c:axId val="38803648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038016"/>
        <c:crosses val="autoZero"/>
        <c:auto val="1"/>
        <c:lblAlgn val="ctr"/>
        <c:lblOffset val="100"/>
        <c:tickLblSkip val="1"/>
        <c:noMultiLvlLbl val="0"/>
      </c:catAx>
      <c:valAx>
        <c:axId val="38803801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03648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很清晰</c:v>
                </c:pt>
                <c:pt idx="1">
                  <c:v>清晰</c:v>
                </c:pt>
                <c:pt idx="2">
                  <c:v>不好说</c:v>
                </c:pt>
                <c:pt idx="3">
                  <c:v>不清晰</c:v>
                </c:pt>
                <c:pt idx="4">
                  <c:v>很不清晰</c:v>
                </c:pt>
              </c:strCache>
            </c:strRef>
          </c:cat>
          <c:val>
            <c:numRef>
              <c:f>Sheet1!$B$2:$B$6</c:f>
              <c:numCache>
                <c:formatCode>0.0%</c:formatCode>
                <c:ptCount val="5"/>
                <c:pt idx="0">
                  <c:v>0.233</c:v>
                </c:pt>
                <c:pt idx="1">
                  <c:v>0.395000000000001</c:v>
                </c:pt>
                <c:pt idx="2">
                  <c:v>0.318000000000001</c:v>
                </c:pt>
                <c:pt idx="3">
                  <c:v>0.039</c:v>
                </c:pt>
                <c:pt idx="4">
                  <c:v>0.016</c:v>
                </c:pt>
              </c:numCache>
            </c:numRef>
          </c:val>
        </c:ser>
        <c:dLbls>
          <c:showLegendKey val="0"/>
          <c:showVal val="0"/>
          <c:showCatName val="0"/>
          <c:showSerName val="0"/>
          <c:showPercent val="0"/>
          <c:showBubbleSize val="0"/>
        </c:dLbls>
        <c:gapWidth val="80"/>
        <c:axId val="388128128"/>
        <c:axId val="388162688"/>
      </c:barChart>
      <c:catAx>
        <c:axId val="3881281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162688"/>
        <c:crosses val="autoZero"/>
        <c:auto val="1"/>
        <c:lblAlgn val="ctr"/>
        <c:lblOffset val="100"/>
        <c:tickLblSkip val="1"/>
        <c:noMultiLvlLbl val="0"/>
      </c:catAx>
      <c:valAx>
        <c:axId val="38816268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1281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4.12</c:v>
                </c:pt>
                <c:pt idx="1">
                  <c:v>4.08</c:v>
                </c:pt>
                <c:pt idx="2">
                  <c:v>4</c:v>
                </c:pt>
                <c:pt idx="3">
                  <c:v>4</c:v>
                </c:pt>
                <c:pt idx="4">
                  <c:v>2.67</c:v>
                </c:pt>
                <c:pt idx="5">
                  <c:v>3.5</c:v>
                </c:pt>
                <c:pt idx="6">
                  <c:v>3.33</c:v>
                </c:pt>
                <c:pt idx="7">
                  <c:v>3.14</c:v>
                </c:pt>
                <c:pt idx="8">
                  <c:v>4</c:v>
                </c:pt>
                <c:pt idx="9">
                  <c:v>3.8</c:v>
                </c:pt>
                <c:pt idx="10">
                  <c:v>3.33</c:v>
                </c:pt>
                <c:pt idx="11">
                  <c:v>3.38</c:v>
                </c:pt>
                <c:pt idx="12">
                  <c:v>4.25</c:v>
                </c:pt>
                <c:pt idx="13">
                  <c:v>3.86</c:v>
                </c:pt>
              </c:numCache>
            </c:numRef>
          </c:val>
        </c:ser>
        <c:dLbls>
          <c:showLegendKey val="0"/>
          <c:showVal val="0"/>
          <c:showCatName val="0"/>
          <c:showSerName val="0"/>
          <c:showPercent val="0"/>
          <c:showBubbleSize val="0"/>
        </c:dLbls>
        <c:gapWidth val="80"/>
        <c:axId val="388052096"/>
        <c:axId val="388053632"/>
      </c:barChart>
      <c:catAx>
        <c:axId val="38805209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053632"/>
        <c:crosses val="autoZero"/>
        <c:auto val="1"/>
        <c:lblAlgn val="ctr"/>
        <c:lblOffset val="100"/>
        <c:tickLblSkip val="1"/>
        <c:noMultiLvlLbl val="0"/>
      </c:catAx>
      <c:valAx>
        <c:axId val="38805363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05209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1年以内</c:v>
                </c:pt>
                <c:pt idx="1">
                  <c:v>1～3年</c:v>
                </c:pt>
                <c:pt idx="2">
                  <c:v>3～5年</c:v>
                </c:pt>
                <c:pt idx="3">
                  <c:v>5年及以上</c:v>
                </c:pt>
              </c:strCache>
            </c:strRef>
          </c:cat>
          <c:val>
            <c:numRef>
              <c:f>Sheet1!$B$2:$B$5</c:f>
              <c:numCache>
                <c:formatCode>0.0%</c:formatCode>
                <c:ptCount val="4"/>
                <c:pt idx="0">
                  <c:v>0.326000000000001</c:v>
                </c:pt>
                <c:pt idx="1">
                  <c:v>0.481</c:v>
                </c:pt>
                <c:pt idx="2">
                  <c:v>0.07</c:v>
                </c:pt>
                <c:pt idx="3">
                  <c:v>0.124</c:v>
                </c:pt>
              </c:numCache>
            </c:numRef>
          </c:val>
        </c:ser>
        <c:dLbls>
          <c:showLegendKey val="0"/>
          <c:showVal val="0"/>
          <c:showCatName val="0"/>
          <c:showSerName val="0"/>
          <c:showPercent val="0"/>
          <c:showBubbleSize val="0"/>
        </c:dLbls>
        <c:gapWidth val="80"/>
        <c:axId val="388213376"/>
        <c:axId val="421568896"/>
      </c:barChart>
      <c:catAx>
        <c:axId val="3882133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1568896"/>
        <c:crosses val="autoZero"/>
        <c:auto val="1"/>
        <c:lblAlgn val="ctr"/>
        <c:lblOffset val="100"/>
        <c:tickLblSkip val="1"/>
        <c:noMultiLvlLbl val="0"/>
      </c:catAx>
      <c:valAx>
        <c:axId val="42156889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2133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42341349153"/>
          <c:y val="0.039644371260172"/>
          <c:w val="0.514611793678555"/>
          <c:h val="0.910672178899127"/>
        </c:manualLayout>
      </c:layout>
      <c:barChart>
        <c:barDir val="bar"/>
        <c:grouping val="clustered"/>
        <c:varyColors val="0"/>
        <c:ser>
          <c:idx val="0"/>
          <c:order val="0"/>
          <c:tx>
            <c:strRef>
              <c:f>Sheet1!$B$1</c:f>
              <c:strCache>
                <c:ptCount val="1"/>
                <c:pt idx="0">
                  <c:v>1年以内</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c:formatCode>
                <c:ptCount val="14"/>
                <c:pt idx="0">
                  <c:v>0.265</c:v>
                </c:pt>
                <c:pt idx="1">
                  <c:v>0.308</c:v>
                </c:pt>
                <c:pt idx="2">
                  <c:v>0.5</c:v>
                </c:pt>
                <c:pt idx="3">
                  <c:v>0.333000000000001</c:v>
                </c:pt>
                <c:pt idx="4">
                  <c:v>0.667000000000002</c:v>
                </c:pt>
                <c:pt idx="5">
                  <c:v>0</c:v>
                </c:pt>
                <c:pt idx="6">
                  <c:v>0.333000000000001</c:v>
                </c:pt>
                <c:pt idx="7">
                  <c:v>0.571</c:v>
                </c:pt>
                <c:pt idx="8">
                  <c:v>0</c:v>
                </c:pt>
                <c:pt idx="9">
                  <c:v>0.4</c:v>
                </c:pt>
                <c:pt idx="10">
                  <c:v>0.25</c:v>
                </c:pt>
                <c:pt idx="11">
                  <c:v>0.385000000000001</c:v>
                </c:pt>
                <c:pt idx="12">
                  <c:v>0.375000000000001</c:v>
                </c:pt>
                <c:pt idx="13">
                  <c:v>0.286</c:v>
                </c:pt>
              </c:numCache>
            </c:numRef>
          </c:val>
        </c:ser>
        <c:ser>
          <c:idx val="1"/>
          <c:order val="1"/>
          <c:tx>
            <c:strRef>
              <c:f>Sheet1!$C$1</c:f>
              <c:strCache>
                <c:ptCount val="1"/>
                <c:pt idx="0">
                  <c:v>1～3年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Sheet1!$C$2:$C$15</c:f>
              <c:numCache>
                <c:formatCode>0.0%</c:formatCode>
                <c:ptCount val="14"/>
                <c:pt idx="0">
                  <c:v>0.235</c:v>
                </c:pt>
                <c:pt idx="1">
                  <c:v>0.538</c:v>
                </c:pt>
                <c:pt idx="2">
                  <c:v>0.5</c:v>
                </c:pt>
                <c:pt idx="3">
                  <c:v>0.667000000000002</c:v>
                </c:pt>
                <c:pt idx="4">
                  <c:v>0</c:v>
                </c:pt>
                <c:pt idx="5">
                  <c:v>0.750000000000001</c:v>
                </c:pt>
                <c:pt idx="6">
                  <c:v>0.667000000000002</c:v>
                </c:pt>
                <c:pt idx="7">
                  <c:v>0.286</c:v>
                </c:pt>
                <c:pt idx="8">
                  <c:v>1</c:v>
                </c:pt>
                <c:pt idx="9">
                  <c:v>0.5</c:v>
                </c:pt>
                <c:pt idx="10">
                  <c:v>0.750000000000001</c:v>
                </c:pt>
                <c:pt idx="11">
                  <c:v>0.538</c:v>
                </c:pt>
                <c:pt idx="12">
                  <c:v>0.625000000000001</c:v>
                </c:pt>
                <c:pt idx="13">
                  <c:v>0.643000000000001</c:v>
                </c:pt>
              </c:numCache>
            </c:numRef>
          </c:val>
        </c:ser>
        <c:ser>
          <c:idx val="2"/>
          <c:order val="2"/>
          <c:tx>
            <c:strRef>
              <c:f>Sheet1!$D$1</c:f>
              <c:strCache>
                <c:ptCount val="1"/>
                <c:pt idx="0">
                  <c:v>3～5年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Sheet1!$D$2:$D$15</c:f>
              <c:numCache>
                <c:formatCode>0.0%</c:formatCode>
                <c:ptCount val="14"/>
                <c:pt idx="0">
                  <c:v>0.147</c:v>
                </c:pt>
                <c:pt idx="1">
                  <c:v>0.077</c:v>
                </c:pt>
                <c:pt idx="2">
                  <c:v>0</c:v>
                </c:pt>
                <c:pt idx="3">
                  <c:v>0</c:v>
                </c:pt>
                <c:pt idx="4">
                  <c:v>0</c:v>
                </c:pt>
                <c:pt idx="5">
                  <c:v>0</c:v>
                </c:pt>
                <c:pt idx="6">
                  <c:v>0</c:v>
                </c:pt>
                <c:pt idx="7">
                  <c:v>0.143</c:v>
                </c:pt>
                <c:pt idx="8">
                  <c:v>0</c:v>
                </c:pt>
                <c:pt idx="9">
                  <c:v>0</c:v>
                </c:pt>
                <c:pt idx="10">
                  <c:v>0</c:v>
                </c:pt>
                <c:pt idx="11">
                  <c:v>0.077</c:v>
                </c:pt>
                <c:pt idx="12">
                  <c:v>0</c:v>
                </c:pt>
                <c:pt idx="13">
                  <c:v>0.071</c:v>
                </c:pt>
              </c:numCache>
            </c:numRef>
          </c:val>
        </c:ser>
        <c:ser>
          <c:idx val="3"/>
          <c:order val="3"/>
          <c:tx>
            <c:strRef>
              <c:f>Sheet1!$E$1</c:f>
              <c:strCache>
                <c:ptCount val="1"/>
                <c:pt idx="0">
                  <c:v>5年及以上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Sheet1!$E$2:$E$15</c:f>
              <c:numCache>
                <c:formatCode>0.0%</c:formatCode>
                <c:ptCount val="14"/>
                <c:pt idx="0">
                  <c:v>0.353</c:v>
                </c:pt>
                <c:pt idx="1">
                  <c:v>0.077</c:v>
                </c:pt>
                <c:pt idx="2">
                  <c:v>0</c:v>
                </c:pt>
                <c:pt idx="3">
                  <c:v>0</c:v>
                </c:pt>
                <c:pt idx="4">
                  <c:v>0.333000000000001</c:v>
                </c:pt>
                <c:pt idx="5">
                  <c:v>0.25</c:v>
                </c:pt>
                <c:pt idx="6">
                  <c:v>0</c:v>
                </c:pt>
                <c:pt idx="7">
                  <c:v>0</c:v>
                </c:pt>
                <c:pt idx="8">
                  <c:v>0</c:v>
                </c:pt>
                <c:pt idx="9">
                  <c:v>0.1</c:v>
                </c:pt>
                <c:pt idx="10">
                  <c:v>0</c:v>
                </c:pt>
                <c:pt idx="11">
                  <c:v>0</c:v>
                </c:pt>
                <c:pt idx="12">
                  <c:v>0</c:v>
                </c:pt>
                <c:pt idx="13">
                  <c:v>0</c:v>
                </c:pt>
              </c:numCache>
            </c:numRef>
          </c:val>
        </c:ser>
        <c:dLbls>
          <c:showLegendKey val="0"/>
          <c:showVal val="0"/>
          <c:showCatName val="0"/>
          <c:showSerName val="0"/>
          <c:showPercent val="0"/>
          <c:showBubbleSize val="0"/>
        </c:dLbls>
        <c:gapWidth val="150"/>
        <c:axId val="421630720"/>
        <c:axId val="421632256"/>
      </c:barChart>
      <c:catAx>
        <c:axId val="421630720"/>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21632256"/>
        <c:crosses val="autoZero"/>
        <c:auto val="0"/>
        <c:lblAlgn val="ctr"/>
        <c:lblOffset val="100"/>
        <c:tickLblSkip val="1"/>
        <c:noMultiLvlLbl val="0"/>
      </c:catAx>
      <c:valAx>
        <c:axId val="421632256"/>
        <c:scaling>
          <c:orientation val="minMax"/>
        </c:scaling>
        <c:delete val="0"/>
        <c:axPos val="t"/>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163072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很相关</c:v>
                </c:pt>
                <c:pt idx="1">
                  <c:v>相关</c:v>
                </c:pt>
                <c:pt idx="2">
                  <c:v>不好说</c:v>
                </c:pt>
                <c:pt idx="3">
                  <c:v>不相关</c:v>
                </c:pt>
                <c:pt idx="4">
                  <c:v>很不相关</c:v>
                </c:pt>
              </c:strCache>
            </c:strRef>
          </c:cat>
          <c:val>
            <c:numRef>
              <c:f>Sheet1!$B$2:$B$6</c:f>
              <c:numCache>
                <c:formatCode>0.0%</c:formatCode>
                <c:ptCount val="5"/>
                <c:pt idx="0">
                  <c:v>0.456</c:v>
                </c:pt>
                <c:pt idx="1">
                  <c:v>0.424</c:v>
                </c:pt>
                <c:pt idx="2">
                  <c:v>0.08</c:v>
                </c:pt>
                <c:pt idx="3">
                  <c:v>0.024</c:v>
                </c:pt>
                <c:pt idx="4">
                  <c:v>0.016</c:v>
                </c:pt>
              </c:numCache>
            </c:numRef>
          </c:val>
        </c:ser>
        <c:dLbls>
          <c:showLegendKey val="0"/>
          <c:showVal val="0"/>
          <c:showCatName val="0"/>
          <c:showSerName val="0"/>
          <c:showPercent val="0"/>
          <c:showBubbleSize val="0"/>
        </c:dLbls>
        <c:gapWidth val="80"/>
        <c:axId val="422124160"/>
        <c:axId val="422134144"/>
      </c:barChart>
      <c:catAx>
        <c:axId val="42212416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134144"/>
        <c:crosses val="autoZero"/>
        <c:auto val="1"/>
        <c:lblAlgn val="ctr"/>
        <c:lblOffset val="100"/>
        <c:tickLblSkip val="1"/>
        <c:noMultiLvlLbl val="0"/>
      </c:catAx>
      <c:valAx>
        <c:axId val="42213414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12416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4.71</c:v>
                </c:pt>
                <c:pt idx="1">
                  <c:v>4.15</c:v>
                </c:pt>
                <c:pt idx="2">
                  <c:v>4.25</c:v>
                </c:pt>
                <c:pt idx="3">
                  <c:v>4.67</c:v>
                </c:pt>
                <c:pt idx="4">
                  <c:v>3.33</c:v>
                </c:pt>
                <c:pt idx="5">
                  <c:v>4</c:v>
                </c:pt>
                <c:pt idx="6">
                  <c:v>3.67</c:v>
                </c:pt>
                <c:pt idx="7">
                  <c:v>4.14</c:v>
                </c:pt>
                <c:pt idx="8">
                  <c:v>4</c:v>
                </c:pt>
                <c:pt idx="9">
                  <c:v>4.5</c:v>
                </c:pt>
                <c:pt idx="10">
                  <c:v>3.83</c:v>
                </c:pt>
                <c:pt idx="11">
                  <c:v>3.92</c:v>
                </c:pt>
                <c:pt idx="12">
                  <c:v>4.57</c:v>
                </c:pt>
                <c:pt idx="13">
                  <c:v>4.29</c:v>
                </c:pt>
              </c:numCache>
            </c:numRef>
          </c:val>
        </c:ser>
        <c:dLbls>
          <c:showLegendKey val="0"/>
          <c:showVal val="0"/>
          <c:showCatName val="0"/>
          <c:showSerName val="0"/>
          <c:showPercent val="0"/>
          <c:showBubbleSize val="0"/>
        </c:dLbls>
        <c:gapWidth val="80"/>
        <c:axId val="422158720"/>
        <c:axId val="422160256"/>
      </c:barChart>
      <c:catAx>
        <c:axId val="42215872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160256"/>
        <c:crosses val="autoZero"/>
        <c:auto val="1"/>
        <c:lblAlgn val="ctr"/>
        <c:lblOffset val="100"/>
        <c:tickLblSkip val="1"/>
        <c:noMultiLvlLbl val="0"/>
      </c:catAx>
      <c:valAx>
        <c:axId val="42216025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15872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高于岗位要求</c:v>
                </c:pt>
                <c:pt idx="1">
                  <c:v>恰好满足岗位要求</c:v>
                </c:pt>
                <c:pt idx="2">
                  <c:v>低于岗位要求</c:v>
                </c:pt>
              </c:strCache>
            </c:strRef>
          </c:cat>
          <c:val>
            <c:numRef>
              <c:f>Sheet1!$B$2:$B$4</c:f>
              <c:numCache>
                <c:formatCode>0.0%</c:formatCode>
                <c:ptCount val="3"/>
                <c:pt idx="0">
                  <c:v>0.224</c:v>
                </c:pt>
                <c:pt idx="1">
                  <c:v>0.744000000000001</c:v>
                </c:pt>
                <c:pt idx="2">
                  <c:v>0.032</c:v>
                </c:pt>
              </c:numCache>
            </c:numRef>
          </c:val>
        </c:ser>
        <c:dLbls>
          <c:showLegendKey val="0"/>
          <c:showVal val="0"/>
          <c:showCatName val="0"/>
          <c:showSerName val="0"/>
          <c:showPercent val="0"/>
          <c:showBubbleSize val="0"/>
        </c:dLbls>
        <c:gapWidth val="80"/>
        <c:axId val="422086528"/>
        <c:axId val="422088064"/>
      </c:barChart>
      <c:catAx>
        <c:axId val="4220865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088064"/>
        <c:crosses val="autoZero"/>
        <c:auto val="1"/>
        <c:lblAlgn val="ctr"/>
        <c:lblOffset val="100"/>
        <c:tickLblSkip val="1"/>
        <c:noMultiLvlLbl val="0"/>
      </c:catAx>
      <c:valAx>
        <c:axId val="42208806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0865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自筹资金</c:v>
                </c:pt>
                <c:pt idx="1">
                  <c:v>技术融资</c:v>
                </c:pt>
                <c:pt idx="2">
                  <c:v>天使投资</c:v>
                </c:pt>
                <c:pt idx="3">
                  <c:v>风险投资</c:v>
                </c:pt>
                <c:pt idx="4">
                  <c:v>高校支持</c:v>
                </c:pt>
                <c:pt idx="5">
                  <c:v>银行贷款</c:v>
                </c:pt>
              </c:strCache>
            </c:strRef>
          </c:cat>
          <c:val>
            <c:numRef>
              <c:f>Sheet1!$B$2:$B$7</c:f>
              <c:numCache>
                <c:formatCode>0.0%</c:formatCode>
                <c:ptCount val="6"/>
                <c:pt idx="0">
                  <c:v>0.875000000000002</c:v>
                </c:pt>
                <c:pt idx="1">
                  <c:v>0.188</c:v>
                </c:pt>
                <c:pt idx="2">
                  <c:v>0.25</c:v>
                </c:pt>
                <c:pt idx="3">
                  <c:v>0.063</c:v>
                </c:pt>
                <c:pt idx="4">
                  <c:v>0.125</c:v>
                </c:pt>
                <c:pt idx="5">
                  <c:v>0.125</c:v>
                </c:pt>
              </c:numCache>
            </c:numRef>
          </c:val>
        </c:ser>
        <c:dLbls>
          <c:showLegendKey val="0"/>
          <c:showVal val="0"/>
          <c:showCatName val="0"/>
          <c:showSerName val="0"/>
          <c:showPercent val="0"/>
          <c:showBubbleSize val="0"/>
        </c:dLbls>
        <c:gapWidth val="80"/>
        <c:axId val="176709632"/>
        <c:axId val="176711168"/>
      </c:barChart>
      <c:catAx>
        <c:axId val="17670963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6711168"/>
        <c:crosses val="autoZero"/>
        <c:auto val="1"/>
        <c:lblAlgn val="ctr"/>
        <c:lblOffset val="100"/>
        <c:tickLblSkip val="1"/>
        <c:noMultiLvlLbl val="0"/>
      </c:catAx>
      <c:valAx>
        <c:axId val="17671116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670963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42341349153"/>
          <c:y val="0.039644371260172"/>
          <c:w val="0.514611793678555"/>
          <c:h val="0.910672178899127"/>
        </c:manualLayout>
      </c:layout>
      <c:barChart>
        <c:barDir val="bar"/>
        <c:grouping val="clustered"/>
        <c:varyColors val="0"/>
        <c:ser>
          <c:idx val="0"/>
          <c:order val="0"/>
          <c:tx>
            <c:strRef>
              <c:f>Sheet1!$B$1</c:f>
              <c:strCache>
                <c:ptCount val="1"/>
                <c:pt idx="0">
                  <c:v>高于岗位要求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c:formatCode>
                <c:ptCount val="14"/>
                <c:pt idx="0">
                  <c:v>0.129</c:v>
                </c:pt>
                <c:pt idx="1">
                  <c:v>0.231</c:v>
                </c:pt>
                <c:pt idx="2">
                  <c:v>0.25</c:v>
                </c:pt>
                <c:pt idx="3">
                  <c:v>0</c:v>
                </c:pt>
                <c:pt idx="4">
                  <c:v>0.333000000000001</c:v>
                </c:pt>
                <c:pt idx="5">
                  <c:v>0.25</c:v>
                </c:pt>
                <c:pt idx="6">
                  <c:v>0.667000000000002</c:v>
                </c:pt>
                <c:pt idx="7">
                  <c:v>0.571</c:v>
                </c:pt>
                <c:pt idx="8">
                  <c:v>0</c:v>
                </c:pt>
                <c:pt idx="9">
                  <c:v>0.2</c:v>
                </c:pt>
                <c:pt idx="10">
                  <c:v>0.083</c:v>
                </c:pt>
                <c:pt idx="11">
                  <c:v>0.154</c:v>
                </c:pt>
                <c:pt idx="12">
                  <c:v>0.429</c:v>
                </c:pt>
                <c:pt idx="13">
                  <c:v>0.286</c:v>
                </c:pt>
              </c:numCache>
            </c:numRef>
          </c:val>
        </c:ser>
        <c:ser>
          <c:idx val="1"/>
          <c:order val="1"/>
          <c:tx>
            <c:strRef>
              <c:f>Sheet1!$C$1</c:f>
              <c:strCache>
                <c:ptCount val="1"/>
                <c:pt idx="0">
                  <c:v>恰好满足岗位要求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Sheet1!$C$2:$C$15</c:f>
              <c:numCache>
                <c:formatCode>0.0%</c:formatCode>
                <c:ptCount val="14"/>
                <c:pt idx="0">
                  <c:v>0.839000000000001</c:v>
                </c:pt>
                <c:pt idx="1">
                  <c:v>0.769000000000001</c:v>
                </c:pt>
                <c:pt idx="2">
                  <c:v>0.5</c:v>
                </c:pt>
                <c:pt idx="3">
                  <c:v>1</c:v>
                </c:pt>
                <c:pt idx="4">
                  <c:v>0.333000000000001</c:v>
                </c:pt>
                <c:pt idx="5">
                  <c:v>0.750000000000001</c:v>
                </c:pt>
                <c:pt idx="6">
                  <c:v>0.333000000000001</c:v>
                </c:pt>
                <c:pt idx="7">
                  <c:v>0.429</c:v>
                </c:pt>
                <c:pt idx="8">
                  <c:v>1</c:v>
                </c:pt>
                <c:pt idx="9">
                  <c:v>0.8</c:v>
                </c:pt>
                <c:pt idx="10">
                  <c:v>0.917</c:v>
                </c:pt>
                <c:pt idx="11">
                  <c:v>0.846000000000001</c:v>
                </c:pt>
                <c:pt idx="12">
                  <c:v>0.571</c:v>
                </c:pt>
                <c:pt idx="13">
                  <c:v>0.643000000000001</c:v>
                </c:pt>
              </c:numCache>
            </c:numRef>
          </c:val>
        </c:ser>
        <c:ser>
          <c:idx val="2"/>
          <c:order val="2"/>
          <c:tx>
            <c:strRef>
              <c:f>Sheet1!$D$1</c:f>
              <c:strCache>
                <c:ptCount val="1"/>
                <c:pt idx="0">
                  <c:v>低于岗位要求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Sheet1!$D$2:$D$15</c:f>
              <c:numCache>
                <c:formatCode>0.0%</c:formatCode>
                <c:ptCount val="14"/>
                <c:pt idx="0">
                  <c:v>0.032</c:v>
                </c:pt>
                <c:pt idx="1">
                  <c:v>0</c:v>
                </c:pt>
                <c:pt idx="2">
                  <c:v>0.25</c:v>
                </c:pt>
                <c:pt idx="3">
                  <c:v>0</c:v>
                </c:pt>
                <c:pt idx="4">
                  <c:v>0.333000000000001</c:v>
                </c:pt>
                <c:pt idx="5">
                  <c:v>0</c:v>
                </c:pt>
                <c:pt idx="6">
                  <c:v>0</c:v>
                </c:pt>
                <c:pt idx="7">
                  <c:v>0</c:v>
                </c:pt>
                <c:pt idx="8">
                  <c:v>0</c:v>
                </c:pt>
                <c:pt idx="9">
                  <c:v>0</c:v>
                </c:pt>
                <c:pt idx="10">
                  <c:v>0</c:v>
                </c:pt>
                <c:pt idx="11">
                  <c:v>0</c:v>
                </c:pt>
                <c:pt idx="12">
                  <c:v>0</c:v>
                </c:pt>
                <c:pt idx="13">
                  <c:v>0.071</c:v>
                </c:pt>
              </c:numCache>
            </c:numRef>
          </c:val>
        </c:ser>
        <c:dLbls>
          <c:showLegendKey val="0"/>
          <c:showVal val="0"/>
          <c:showCatName val="0"/>
          <c:showSerName val="0"/>
          <c:showPercent val="0"/>
          <c:showBubbleSize val="0"/>
        </c:dLbls>
        <c:gapWidth val="150"/>
        <c:axId val="422299904"/>
        <c:axId val="422305792"/>
      </c:barChart>
      <c:catAx>
        <c:axId val="422299904"/>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22305792"/>
        <c:crosses val="autoZero"/>
        <c:auto val="0"/>
        <c:lblAlgn val="ctr"/>
        <c:lblOffset val="100"/>
        <c:tickLblSkip val="1"/>
        <c:noMultiLvlLbl val="0"/>
      </c:catAx>
      <c:valAx>
        <c:axId val="422305792"/>
        <c:scaling>
          <c:orientation val="minMax"/>
        </c:scaling>
        <c:delete val="0"/>
        <c:axPos val="t"/>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29990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很相符</c:v>
                </c:pt>
                <c:pt idx="1">
                  <c:v>相符</c:v>
                </c:pt>
                <c:pt idx="2">
                  <c:v>不好说</c:v>
                </c:pt>
                <c:pt idx="3">
                  <c:v>不相符</c:v>
                </c:pt>
                <c:pt idx="4">
                  <c:v>很不相符</c:v>
                </c:pt>
              </c:strCache>
            </c:strRef>
          </c:cat>
          <c:val>
            <c:numRef>
              <c:f>Sheet1!$B$2:$B$6</c:f>
              <c:numCache>
                <c:formatCode>0.0%</c:formatCode>
                <c:ptCount val="5"/>
                <c:pt idx="0">
                  <c:v>0.248</c:v>
                </c:pt>
                <c:pt idx="1">
                  <c:v>0.481</c:v>
                </c:pt>
                <c:pt idx="2">
                  <c:v>0.217</c:v>
                </c:pt>
                <c:pt idx="3">
                  <c:v>0.047</c:v>
                </c:pt>
                <c:pt idx="4">
                  <c:v>0.00800000000000002</c:v>
                </c:pt>
              </c:numCache>
            </c:numRef>
          </c:val>
        </c:ser>
        <c:dLbls>
          <c:showLegendKey val="0"/>
          <c:showVal val="0"/>
          <c:showCatName val="0"/>
          <c:showSerName val="0"/>
          <c:showPercent val="0"/>
          <c:showBubbleSize val="0"/>
        </c:dLbls>
        <c:gapWidth val="80"/>
        <c:axId val="422232448"/>
        <c:axId val="422233984"/>
      </c:barChart>
      <c:catAx>
        <c:axId val="4222324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233984"/>
        <c:crosses val="autoZero"/>
        <c:auto val="1"/>
        <c:lblAlgn val="ctr"/>
        <c:lblOffset val="100"/>
        <c:tickLblSkip val="1"/>
        <c:noMultiLvlLbl val="0"/>
      </c:catAx>
      <c:valAx>
        <c:axId val="42223398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2324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4.32</c:v>
                </c:pt>
                <c:pt idx="1">
                  <c:v>4.15</c:v>
                </c:pt>
                <c:pt idx="2">
                  <c:v>4</c:v>
                </c:pt>
                <c:pt idx="3">
                  <c:v>3.67</c:v>
                </c:pt>
                <c:pt idx="4">
                  <c:v>3</c:v>
                </c:pt>
                <c:pt idx="5">
                  <c:v>3.75</c:v>
                </c:pt>
                <c:pt idx="6">
                  <c:v>3.33</c:v>
                </c:pt>
                <c:pt idx="7">
                  <c:v>3</c:v>
                </c:pt>
                <c:pt idx="8">
                  <c:v>3</c:v>
                </c:pt>
                <c:pt idx="9">
                  <c:v>4</c:v>
                </c:pt>
                <c:pt idx="10">
                  <c:v>3.67</c:v>
                </c:pt>
                <c:pt idx="11">
                  <c:v>3.92</c:v>
                </c:pt>
                <c:pt idx="12">
                  <c:v>4.25</c:v>
                </c:pt>
                <c:pt idx="13">
                  <c:v>3.57</c:v>
                </c:pt>
              </c:numCache>
            </c:numRef>
          </c:val>
        </c:ser>
        <c:dLbls>
          <c:showLegendKey val="0"/>
          <c:showVal val="0"/>
          <c:showCatName val="0"/>
          <c:showSerName val="0"/>
          <c:showPercent val="0"/>
          <c:showBubbleSize val="0"/>
        </c:dLbls>
        <c:gapWidth val="80"/>
        <c:axId val="422500224"/>
        <c:axId val="422501760"/>
      </c:barChart>
      <c:catAx>
        <c:axId val="42250022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01760"/>
        <c:crosses val="autoZero"/>
        <c:auto val="1"/>
        <c:lblAlgn val="ctr"/>
        <c:lblOffset val="100"/>
        <c:tickLblSkip val="1"/>
        <c:noMultiLvlLbl val="0"/>
      </c:catAx>
      <c:valAx>
        <c:axId val="42250176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0022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很积极</c:v>
                </c:pt>
                <c:pt idx="1">
                  <c:v>积极</c:v>
                </c:pt>
                <c:pt idx="2">
                  <c:v>不好说</c:v>
                </c:pt>
                <c:pt idx="3">
                  <c:v>不积极</c:v>
                </c:pt>
                <c:pt idx="4">
                  <c:v>很不积极</c:v>
                </c:pt>
              </c:strCache>
            </c:strRef>
          </c:cat>
          <c:val>
            <c:numRef>
              <c:f>Sheet1!$B$2:$B$6</c:f>
              <c:numCache>
                <c:formatCode>0.0%</c:formatCode>
                <c:ptCount val="5"/>
                <c:pt idx="0">
                  <c:v>0.395000000000001</c:v>
                </c:pt>
                <c:pt idx="1">
                  <c:v>0.442</c:v>
                </c:pt>
                <c:pt idx="2">
                  <c:v>0.109</c:v>
                </c:pt>
                <c:pt idx="3">
                  <c:v>0.047</c:v>
                </c:pt>
                <c:pt idx="4">
                  <c:v>0.00800000000000002</c:v>
                </c:pt>
              </c:numCache>
            </c:numRef>
          </c:val>
        </c:ser>
        <c:dLbls>
          <c:showLegendKey val="0"/>
          <c:showVal val="0"/>
          <c:showCatName val="0"/>
          <c:showSerName val="0"/>
          <c:showPercent val="0"/>
          <c:showBubbleSize val="0"/>
        </c:dLbls>
        <c:gapWidth val="80"/>
        <c:axId val="422526336"/>
        <c:axId val="422466688"/>
      </c:barChart>
      <c:catAx>
        <c:axId val="42252633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466688"/>
        <c:crosses val="autoZero"/>
        <c:auto val="1"/>
        <c:lblAlgn val="ctr"/>
        <c:lblOffset val="100"/>
        <c:tickLblSkip val="1"/>
        <c:noMultiLvlLbl val="0"/>
      </c:catAx>
      <c:valAx>
        <c:axId val="42246668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2633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4.35</c:v>
                </c:pt>
                <c:pt idx="1">
                  <c:v>4.15</c:v>
                </c:pt>
                <c:pt idx="2">
                  <c:v>3.25</c:v>
                </c:pt>
                <c:pt idx="3">
                  <c:v>3.67</c:v>
                </c:pt>
                <c:pt idx="4">
                  <c:v>4</c:v>
                </c:pt>
                <c:pt idx="5">
                  <c:v>3.75</c:v>
                </c:pt>
                <c:pt idx="6">
                  <c:v>4</c:v>
                </c:pt>
                <c:pt idx="7">
                  <c:v>4.29</c:v>
                </c:pt>
                <c:pt idx="8">
                  <c:v>4</c:v>
                </c:pt>
                <c:pt idx="9">
                  <c:v>3.8</c:v>
                </c:pt>
                <c:pt idx="10">
                  <c:v>4.08</c:v>
                </c:pt>
                <c:pt idx="11">
                  <c:v>4.31</c:v>
                </c:pt>
                <c:pt idx="12">
                  <c:v>4.63</c:v>
                </c:pt>
                <c:pt idx="13">
                  <c:v>4.21</c:v>
                </c:pt>
              </c:numCache>
            </c:numRef>
          </c:val>
        </c:ser>
        <c:dLbls>
          <c:showLegendKey val="0"/>
          <c:showVal val="0"/>
          <c:showCatName val="0"/>
          <c:showSerName val="0"/>
          <c:showPercent val="0"/>
          <c:showBubbleSize val="0"/>
        </c:dLbls>
        <c:gapWidth val="80"/>
        <c:axId val="422540416"/>
        <c:axId val="422541952"/>
      </c:barChart>
      <c:catAx>
        <c:axId val="42254041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41952"/>
        <c:crosses val="autoZero"/>
        <c:auto val="1"/>
        <c:lblAlgn val="ctr"/>
        <c:lblOffset val="100"/>
        <c:tickLblSkip val="1"/>
        <c:noMultiLvlLbl val="0"/>
      </c:catAx>
      <c:valAx>
        <c:axId val="42254195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4041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投递简历</c:v>
                </c:pt>
                <c:pt idx="1">
                  <c:v>收到面试邀请</c:v>
                </c:pt>
                <c:pt idx="2">
                  <c:v>收到录取通知</c:v>
                </c:pt>
              </c:strCache>
            </c:strRef>
          </c:cat>
          <c:val>
            <c:numRef>
              <c:f>Sheet1!$B$2:$B$4</c:f>
              <c:numCache>
                <c:formatCode>0.0_);[Red]\(0.0\)</c:formatCode>
                <c:ptCount val="3"/>
                <c:pt idx="0">
                  <c:v>16.93</c:v>
                </c:pt>
                <c:pt idx="1">
                  <c:v>6.25</c:v>
                </c:pt>
                <c:pt idx="2">
                  <c:v>2.9</c:v>
                </c:pt>
              </c:numCache>
            </c:numRef>
          </c:val>
        </c:ser>
        <c:dLbls>
          <c:showLegendKey val="0"/>
          <c:showVal val="0"/>
          <c:showCatName val="0"/>
          <c:showSerName val="0"/>
          <c:showPercent val="0"/>
          <c:showBubbleSize val="0"/>
        </c:dLbls>
        <c:gapWidth val="80"/>
        <c:axId val="422791808"/>
        <c:axId val="422797696"/>
      </c:barChart>
      <c:catAx>
        <c:axId val="42279180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797696"/>
        <c:crosses val="autoZero"/>
        <c:auto val="1"/>
        <c:lblAlgn val="ctr"/>
        <c:lblOffset val="100"/>
        <c:tickLblSkip val="1"/>
        <c:noMultiLvlLbl val="0"/>
      </c:catAx>
      <c:valAx>
        <c:axId val="42279769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79180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2.52</c:v>
                </c:pt>
                <c:pt idx="1">
                  <c:v>4.08</c:v>
                </c:pt>
                <c:pt idx="2">
                  <c:v>2.5</c:v>
                </c:pt>
                <c:pt idx="3">
                  <c:v>1</c:v>
                </c:pt>
                <c:pt idx="4">
                  <c:v>5.33</c:v>
                </c:pt>
                <c:pt idx="5">
                  <c:v>3</c:v>
                </c:pt>
                <c:pt idx="6">
                  <c:v>4.67</c:v>
                </c:pt>
                <c:pt idx="7">
                  <c:v>2.71</c:v>
                </c:pt>
                <c:pt idx="8">
                  <c:v>6</c:v>
                </c:pt>
                <c:pt idx="9">
                  <c:v>3.44</c:v>
                </c:pt>
                <c:pt idx="10">
                  <c:v>2.58</c:v>
                </c:pt>
                <c:pt idx="11">
                  <c:v>2.63</c:v>
                </c:pt>
                <c:pt idx="12">
                  <c:v>2.57</c:v>
                </c:pt>
                <c:pt idx="13">
                  <c:v>2.57</c:v>
                </c:pt>
              </c:numCache>
            </c:numRef>
          </c:val>
        </c:ser>
        <c:dLbls>
          <c:showLegendKey val="0"/>
          <c:showVal val="0"/>
          <c:showCatName val="0"/>
          <c:showSerName val="0"/>
          <c:showPercent val="0"/>
          <c:showBubbleSize val="0"/>
        </c:dLbls>
        <c:gapWidth val="80"/>
        <c:axId val="422518784"/>
        <c:axId val="422520320"/>
      </c:barChart>
      <c:catAx>
        <c:axId val="422518784"/>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22520320"/>
        <c:crosses val="autoZero"/>
        <c:auto val="1"/>
        <c:lblAlgn val="ctr"/>
        <c:lblOffset val="100"/>
        <c:tickLblSkip val="1"/>
        <c:noMultiLvlLbl val="0"/>
      </c:catAx>
      <c:valAx>
        <c:axId val="422520320"/>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51878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Sheet1!$A$2:$A$14</c:f>
              <c:strCache>
                <c:ptCount val="13"/>
                <c:pt idx="0">
                  <c:v>表演</c:v>
                </c:pt>
                <c:pt idx="1">
                  <c:v>播音与主持</c:v>
                </c:pt>
                <c:pt idx="2">
                  <c:v>导演</c:v>
                </c:pt>
                <c:pt idx="3">
                  <c:v>电视剧创作</c:v>
                </c:pt>
                <c:pt idx="4">
                  <c:v>舞台灯光</c:v>
                </c:pt>
                <c:pt idx="5">
                  <c:v>舞台服装</c:v>
                </c:pt>
                <c:pt idx="6">
                  <c:v>舞台化装</c:v>
                </c:pt>
                <c:pt idx="7">
                  <c:v>舞台绘景</c:v>
                </c:pt>
                <c:pt idx="8">
                  <c:v>戏剧创作</c:v>
                </c:pt>
                <c:pt idx="9">
                  <c:v>戏剧学</c:v>
                </c:pt>
                <c:pt idx="10">
                  <c:v>演出制作</c:v>
                </c:pt>
                <c:pt idx="11">
                  <c:v>影视编导</c:v>
                </c:pt>
                <c:pt idx="12">
                  <c:v>制片管理</c:v>
                </c:pt>
              </c:strCache>
            </c:strRef>
          </c:cat>
          <c:val>
            <c:numRef>
              <c:f>Sheet1!$B$2:$B$14</c:f>
              <c:numCache>
                <c:formatCode>0.0_);[Red]\(0.0\)</c:formatCode>
                <c:ptCount val="13"/>
                <c:pt idx="0">
                  <c:v>3.3</c:v>
                </c:pt>
                <c:pt idx="1">
                  <c:v>3.92</c:v>
                </c:pt>
                <c:pt idx="2">
                  <c:v>1.67</c:v>
                </c:pt>
                <c:pt idx="3">
                  <c:v>5.33</c:v>
                </c:pt>
                <c:pt idx="4">
                  <c:v>4.67</c:v>
                </c:pt>
                <c:pt idx="5">
                  <c:v>1</c:v>
                </c:pt>
                <c:pt idx="6">
                  <c:v>4.67</c:v>
                </c:pt>
                <c:pt idx="7">
                  <c:v>3.4</c:v>
                </c:pt>
                <c:pt idx="8">
                  <c:v>3.43</c:v>
                </c:pt>
                <c:pt idx="9">
                  <c:v>4.27</c:v>
                </c:pt>
                <c:pt idx="10">
                  <c:v>5.4</c:v>
                </c:pt>
                <c:pt idx="11">
                  <c:v>3.2</c:v>
                </c:pt>
                <c:pt idx="12">
                  <c:v>5.09</c:v>
                </c:pt>
              </c:numCache>
            </c:numRef>
          </c:val>
        </c:ser>
        <c:dLbls>
          <c:showLegendKey val="0"/>
          <c:showVal val="0"/>
          <c:showCatName val="0"/>
          <c:showSerName val="0"/>
          <c:showPercent val="0"/>
          <c:showBubbleSize val="0"/>
        </c:dLbls>
        <c:gapWidth val="80"/>
        <c:axId val="422880384"/>
        <c:axId val="422881920"/>
      </c:barChart>
      <c:catAx>
        <c:axId val="422880384"/>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22881920"/>
        <c:crosses val="autoZero"/>
        <c:auto val="1"/>
        <c:lblAlgn val="ctr"/>
        <c:lblOffset val="100"/>
        <c:tickLblSkip val="1"/>
        <c:noMultiLvlLbl val="0"/>
      </c:catAx>
      <c:valAx>
        <c:axId val="422881920"/>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88038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Sheet1!$A$2:$A$15</c:f>
              <c:strCache>
                <c:ptCount val="14"/>
                <c:pt idx="0">
                  <c:v>表演</c:v>
                </c:pt>
                <c:pt idx="1">
                  <c:v>播音与主持</c:v>
                </c:pt>
                <c:pt idx="2">
                  <c:v>导演</c:v>
                </c:pt>
                <c:pt idx="3">
                  <c:v>电视剧创作</c:v>
                </c:pt>
                <c:pt idx="4">
                  <c:v>舞台灯光</c:v>
                </c:pt>
                <c:pt idx="5">
                  <c:v>舞台服装</c:v>
                </c:pt>
                <c:pt idx="6">
                  <c:v>舞台化装</c:v>
                </c:pt>
                <c:pt idx="7">
                  <c:v>舞台绘景</c:v>
                </c:pt>
                <c:pt idx="8">
                  <c:v>舞台设计</c:v>
                </c:pt>
                <c:pt idx="9">
                  <c:v>戏剧创作</c:v>
                </c:pt>
                <c:pt idx="10">
                  <c:v>戏剧学</c:v>
                </c:pt>
                <c:pt idx="11">
                  <c:v>演出制作</c:v>
                </c:pt>
                <c:pt idx="12">
                  <c:v>影视编导</c:v>
                </c:pt>
                <c:pt idx="13">
                  <c:v>制片管理</c:v>
                </c:pt>
              </c:strCache>
            </c:strRef>
          </c:cat>
          <c:val>
            <c:numRef>
              <c:f>Sheet1!$B$2:$B$15</c:f>
              <c:numCache>
                <c:formatCode>0.0_);[Red]\(0.0\)</c:formatCode>
                <c:ptCount val="14"/>
                <c:pt idx="0">
                  <c:v>2082.07</c:v>
                </c:pt>
                <c:pt idx="1">
                  <c:v>2170</c:v>
                </c:pt>
                <c:pt idx="2">
                  <c:v>5500</c:v>
                </c:pt>
                <c:pt idx="3">
                  <c:v>286.67</c:v>
                </c:pt>
                <c:pt idx="4">
                  <c:v>604</c:v>
                </c:pt>
                <c:pt idx="5">
                  <c:v>706.25</c:v>
                </c:pt>
                <c:pt idx="6">
                  <c:v>433.33</c:v>
                </c:pt>
                <c:pt idx="7">
                  <c:v>1214.29</c:v>
                </c:pt>
                <c:pt idx="8">
                  <c:v>300</c:v>
                </c:pt>
                <c:pt idx="9">
                  <c:v>1064.29</c:v>
                </c:pt>
                <c:pt idx="10">
                  <c:v>550</c:v>
                </c:pt>
                <c:pt idx="11">
                  <c:v>1957.69</c:v>
                </c:pt>
                <c:pt idx="12">
                  <c:v>153.33</c:v>
                </c:pt>
                <c:pt idx="13">
                  <c:v>1109.23</c:v>
                </c:pt>
              </c:numCache>
            </c:numRef>
          </c:val>
        </c:ser>
        <c:dLbls>
          <c:showLegendKey val="0"/>
          <c:showVal val="0"/>
          <c:showCatName val="0"/>
          <c:showSerName val="0"/>
          <c:showPercent val="0"/>
          <c:showBubbleSize val="0"/>
        </c:dLbls>
        <c:gapWidth val="80"/>
        <c:axId val="422902016"/>
        <c:axId val="422916096"/>
      </c:barChart>
      <c:catAx>
        <c:axId val="422902016"/>
        <c:scaling>
          <c:orientation val="maxMin"/>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422916096"/>
        <c:crosses val="autoZero"/>
        <c:auto val="1"/>
        <c:lblAlgn val="ctr"/>
        <c:lblOffset val="100"/>
        <c:tickLblSkip val="1"/>
        <c:noMultiLvlLbl val="0"/>
      </c:catAx>
      <c:valAx>
        <c:axId val="422916096"/>
        <c:scaling>
          <c:orientation val="minMax"/>
        </c:scaling>
        <c:delete val="0"/>
        <c:axPos val="t"/>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9020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学校组织的招聘会</c:v>
                </c:pt>
                <c:pt idx="1">
                  <c:v>学校发布的招聘信息</c:v>
                </c:pt>
                <c:pt idx="2">
                  <c:v>院系发布的招聘信息</c:v>
                </c:pt>
                <c:pt idx="3">
                  <c:v>老师推荐</c:v>
                </c:pt>
                <c:pt idx="4">
                  <c:v>校友资源</c:v>
                </c:pt>
                <c:pt idx="5">
                  <c:v>其他校园渠道</c:v>
                </c:pt>
                <c:pt idx="6">
                  <c:v>政府渠道</c:v>
                </c:pt>
                <c:pt idx="7">
                  <c:v>社会渠道</c:v>
                </c:pt>
                <c:pt idx="8">
                  <c:v>用人单位自设渠道</c:v>
                </c:pt>
                <c:pt idx="9">
                  <c:v>亲友渠道</c:v>
                </c:pt>
                <c:pt idx="10">
                  <c:v>其他渠道</c:v>
                </c:pt>
              </c:strCache>
            </c:strRef>
          </c:cat>
          <c:val>
            <c:numRef>
              <c:f>Sheet1!$B$2:$B$12</c:f>
              <c:numCache>
                <c:formatCode>0.0%</c:formatCode>
                <c:ptCount val="11"/>
                <c:pt idx="0">
                  <c:v>0.411</c:v>
                </c:pt>
                <c:pt idx="1">
                  <c:v>0.372000000000001</c:v>
                </c:pt>
                <c:pt idx="2">
                  <c:v>0.132</c:v>
                </c:pt>
                <c:pt idx="3">
                  <c:v>0.302</c:v>
                </c:pt>
                <c:pt idx="4">
                  <c:v>0.372000000000001</c:v>
                </c:pt>
                <c:pt idx="5">
                  <c:v>0.062</c:v>
                </c:pt>
                <c:pt idx="6">
                  <c:v>0.0310000000000001</c:v>
                </c:pt>
                <c:pt idx="7">
                  <c:v>0.264</c:v>
                </c:pt>
                <c:pt idx="8">
                  <c:v>0.310000000000001</c:v>
                </c:pt>
                <c:pt idx="9">
                  <c:v>0.287</c:v>
                </c:pt>
                <c:pt idx="10">
                  <c:v>0.023</c:v>
                </c:pt>
              </c:numCache>
            </c:numRef>
          </c:val>
        </c:ser>
        <c:dLbls>
          <c:showLegendKey val="0"/>
          <c:showVal val="0"/>
          <c:showCatName val="0"/>
          <c:showSerName val="0"/>
          <c:showPercent val="0"/>
          <c:showBubbleSize val="0"/>
        </c:dLbls>
        <c:gapWidth val="80"/>
        <c:axId val="422636928"/>
        <c:axId val="422954112"/>
      </c:barChart>
      <c:catAx>
        <c:axId val="42263692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954112"/>
        <c:crosses val="autoZero"/>
        <c:auto val="1"/>
        <c:lblAlgn val="ctr"/>
        <c:lblOffset val="100"/>
        <c:tickLblSkip val="1"/>
        <c:noMultiLvlLbl val="0"/>
      </c:catAx>
      <c:valAx>
        <c:axId val="42295411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63692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450232502924835"/>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撰写商业计划书</c:v>
                </c:pt>
                <c:pt idx="1">
                  <c:v>寻找资金支持</c:v>
                </c:pt>
                <c:pt idx="2">
                  <c:v>寻找公司注册地点</c:v>
                </c:pt>
                <c:pt idx="3">
                  <c:v>创业团队组建及管理</c:v>
                </c:pt>
                <c:pt idx="4">
                  <c:v>公司财务税务管理</c:v>
                </c:pt>
                <c:pt idx="5">
                  <c:v>产品与服务营销</c:v>
                </c:pt>
                <c:pt idx="6">
                  <c:v>风险控制</c:v>
                </c:pt>
              </c:strCache>
            </c:strRef>
          </c:cat>
          <c:val>
            <c:numRef>
              <c:f>Sheet1!$B$2:$B$8</c:f>
              <c:numCache>
                <c:formatCode>0.0%</c:formatCode>
                <c:ptCount val="7"/>
                <c:pt idx="0">
                  <c:v>0.063</c:v>
                </c:pt>
                <c:pt idx="1">
                  <c:v>0.5</c:v>
                </c:pt>
                <c:pt idx="2">
                  <c:v>0.063</c:v>
                </c:pt>
                <c:pt idx="3">
                  <c:v>0.125</c:v>
                </c:pt>
                <c:pt idx="4">
                  <c:v>0.063</c:v>
                </c:pt>
                <c:pt idx="5">
                  <c:v>0.125</c:v>
                </c:pt>
                <c:pt idx="6">
                  <c:v>0.063</c:v>
                </c:pt>
              </c:numCache>
            </c:numRef>
          </c:val>
        </c:ser>
        <c:dLbls>
          <c:showLegendKey val="0"/>
          <c:showVal val="0"/>
          <c:showCatName val="0"/>
          <c:showSerName val="0"/>
          <c:showPercent val="0"/>
          <c:showBubbleSize val="0"/>
        </c:dLbls>
        <c:gapWidth val="80"/>
        <c:axId val="182625792"/>
        <c:axId val="182627328"/>
      </c:barChart>
      <c:catAx>
        <c:axId val="182625792"/>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27328"/>
        <c:crosses val="autoZero"/>
        <c:auto val="1"/>
        <c:lblAlgn val="ctr"/>
        <c:lblOffset val="100"/>
        <c:tickLblSkip val="1"/>
        <c:noMultiLvlLbl val="0"/>
      </c:catAx>
      <c:valAx>
        <c:axId val="18262732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2625792"/>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自主选择</c:v>
                </c:pt>
                <c:pt idx="1">
                  <c:v>父母意见</c:v>
                </c:pt>
                <c:pt idx="2">
                  <c:v>他人推荐（除父母外）</c:v>
                </c:pt>
              </c:strCache>
            </c:strRef>
          </c:cat>
          <c:val>
            <c:numRef>
              <c:f>Sheet1!$B$2:$B$4</c:f>
              <c:numCache>
                <c:formatCode>0.0%</c:formatCode>
                <c:ptCount val="3"/>
                <c:pt idx="0">
                  <c:v>0.952000000000001</c:v>
                </c:pt>
                <c:pt idx="1">
                  <c:v>0.024</c:v>
                </c:pt>
                <c:pt idx="2">
                  <c:v>0.024</c:v>
                </c:pt>
              </c:numCache>
            </c:numRef>
          </c:val>
        </c:ser>
        <c:dLbls>
          <c:showLegendKey val="0"/>
          <c:showVal val="0"/>
          <c:showCatName val="0"/>
          <c:showSerName val="0"/>
          <c:showPercent val="0"/>
          <c:showBubbleSize val="0"/>
        </c:dLbls>
        <c:gapWidth val="80"/>
        <c:axId val="423195776"/>
        <c:axId val="423197312"/>
      </c:barChart>
      <c:catAx>
        <c:axId val="42319577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197312"/>
        <c:crosses val="autoZero"/>
        <c:auto val="1"/>
        <c:lblAlgn val="ctr"/>
        <c:lblOffset val="100"/>
        <c:tickLblSkip val="1"/>
        <c:noMultiLvlLbl val="0"/>
      </c:catAx>
      <c:valAx>
        <c:axId val="423197312"/>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195776"/>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3838582677165"/>
          <c:y val="0.0514004558207654"/>
          <c:w val="0.76172016959419"/>
          <c:h val="0.761775513354952"/>
        </c:manualLayout>
      </c:layout>
      <c:barChart>
        <c:barDir val="col"/>
        <c:grouping val="clustered"/>
        <c:varyColors val="0"/>
        <c:ser>
          <c:idx val="0"/>
          <c:order val="0"/>
          <c:tx>
            <c:strRef>
              <c:f>Sheet1!$A$2</c:f>
              <c:strCache>
                <c:ptCount val="1"/>
                <c:pt idx="0">
                  <c:v>戏剧</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自主选择</c:v>
                </c:pt>
                <c:pt idx="1">
                  <c:v>父母意见</c:v>
                </c:pt>
                <c:pt idx="2">
                  <c:v>他人推荐（除父母外）</c:v>
                </c:pt>
              </c:strCache>
            </c:strRef>
          </c:cat>
          <c:val>
            <c:numRef>
              <c:f>Sheet1!$B$2:$D$2</c:f>
              <c:numCache>
                <c:formatCode>0.0%</c:formatCode>
                <c:ptCount val="3"/>
                <c:pt idx="0">
                  <c:v>0.938</c:v>
                </c:pt>
                <c:pt idx="1">
                  <c:v>0</c:v>
                </c:pt>
                <c:pt idx="2">
                  <c:v>0.063</c:v>
                </c:pt>
              </c:numCache>
            </c:numRef>
          </c:val>
        </c:ser>
        <c:ser>
          <c:idx val="1"/>
          <c:order val="1"/>
          <c:tx>
            <c:strRef>
              <c:f>Sheet1!$A$3</c:f>
              <c:strCache>
                <c:ptCount val="1"/>
                <c:pt idx="0">
                  <c:v>戏剧与影视学</c:v>
                </c:pt>
              </c:strCache>
            </c:strRef>
          </c:tx>
          <c:invertIfNegative val="0"/>
          <c:dLbls>
            <c:dLbl>
              <c:idx val="1"/>
              <c:layout>
                <c:manualLayout>
                  <c:x val="-4.2437781360068e-17"/>
                  <c:y val="-0.0357142857142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自主选择</c:v>
                </c:pt>
                <c:pt idx="1">
                  <c:v>父母意见</c:v>
                </c:pt>
                <c:pt idx="2">
                  <c:v>他人推荐（除父母外）</c:v>
                </c:pt>
              </c:strCache>
            </c:strRef>
          </c:cat>
          <c:val>
            <c:numRef>
              <c:f>Sheet1!$B$3:$D$3</c:f>
              <c:numCache>
                <c:formatCode>0.0%</c:formatCode>
                <c:ptCount val="3"/>
                <c:pt idx="0">
                  <c:v>0.952000000000001</c:v>
                </c:pt>
                <c:pt idx="1">
                  <c:v>0.048</c:v>
                </c:pt>
                <c:pt idx="2">
                  <c:v>0</c:v>
                </c:pt>
              </c:numCache>
            </c:numRef>
          </c:val>
        </c:ser>
        <c:ser>
          <c:idx val="2"/>
          <c:order val="2"/>
          <c:tx>
            <c:strRef>
              <c:f>Sheet1!$A$4</c:f>
              <c:strCache>
                <c:ptCount val="1"/>
                <c:pt idx="0">
                  <c:v>艺术学理论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自主选择</c:v>
                </c:pt>
                <c:pt idx="1">
                  <c:v>父母意见</c:v>
                </c:pt>
                <c:pt idx="2">
                  <c:v>他人推荐（除父母外）</c:v>
                </c:pt>
              </c:strCache>
            </c:strRef>
          </c:cat>
          <c:val>
            <c:numRef>
              <c:f>Sheet1!$B$4:$D$4</c:f>
              <c:numCache>
                <c:formatCode>0.0%</c:formatCode>
                <c:ptCount val="3"/>
                <c:pt idx="0">
                  <c:v>1</c:v>
                </c:pt>
                <c:pt idx="1">
                  <c:v>0</c:v>
                </c:pt>
                <c:pt idx="2">
                  <c:v>0</c:v>
                </c:pt>
              </c:numCache>
            </c:numRef>
          </c:val>
        </c:ser>
        <c:dLbls>
          <c:showLegendKey val="0"/>
          <c:showVal val="0"/>
          <c:showCatName val="0"/>
          <c:showSerName val="0"/>
          <c:showPercent val="0"/>
          <c:showBubbleSize val="0"/>
        </c:dLbls>
        <c:gapWidth val="80"/>
        <c:axId val="422951168"/>
        <c:axId val="423211008"/>
      </c:barChart>
      <c:catAx>
        <c:axId val="422951168"/>
        <c:scaling>
          <c:orientation val="minMax"/>
        </c:scaling>
        <c:delete val="0"/>
        <c:axPos val="b"/>
        <c:numFmt formatCode="General" sourceLinked="0"/>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211008"/>
        <c:crosses val="autoZero"/>
        <c:auto val="1"/>
        <c:lblAlgn val="ctr"/>
        <c:lblOffset val="100"/>
        <c:tickLblSkip val="1"/>
        <c:noMultiLvlLbl val="0"/>
      </c:catAx>
      <c:valAx>
        <c:axId val="423211008"/>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2951168"/>
        <c:crosses val="autoZero"/>
        <c:crossBetween val="between"/>
      </c:valAx>
      <c:spPr>
        <a:solidFill>
          <a:schemeClr val="bg1"/>
        </a:solidFill>
        <a:ln>
          <a:noFill/>
        </a:ln>
        <a:effectLst/>
      </c:spPr>
    </c:plotArea>
    <c:legend>
      <c:legendPos val="r"/>
      <c:layout>
        <c:manualLayout>
          <c:xMode val="edge"/>
          <c:yMode val="edge"/>
          <c:x val="0.833113145924629"/>
          <c:y val="0.0666402484003225"/>
          <c:w val="0.154820489067827"/>
          <c:h val="0.866719160104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很喜欢</c:v>
                </c:pt>
                <c:pt idx="1">
                  <c:v>喜欢</c:v>
                </c:pt>
              </c:strCache>
            </c:strRef>
          </c:cat>
          <c:val>
            <c:numRef>
              <c:f>Sheet1!$B$2:$B$3</c:f>
              <c:numCache>
                <c:formatCode>0.0%</c:formatCode>
                <c:ptCount val="2"/>
                <c:pt idx="0">
                  <c:v>0.714000000000001</c:v>
                </c:pt>
                <c:pt idx="1">
                  <c:v>0.286</c:v>
                </c:pt>
              </c:numCache>
            </c:numRef>
          </c:val>
        </c:ser>
        <c:dLbls>
          <c:showLegendKey val="0"/>
          <c:showVal val="0"/>
          <c:showCatName val="0"/>
          <c:showSerName val="0"/>
          <c:showPercent val="0"/>
          <c:showBubbleSize val="0"/>
        </c:dLbls>
        <c:gapWidth val="80"/>
        <c:axId val="423256448"/>
        <c:axId val="423257984"/>
      </c:barChart>
      <c:catAx>
        <c:axId val="4232564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257984"/>
        <c:crosses val="autoZero"/>
        <c:auto val="1"/>
        <c:lblAlgn val="ctr"/>
        <c:lblOffset val="100"/>
        <c:tickLblSkip val="1"/>
        <c:noMultiLvlLbl val="0"/>
      </c:catAx>
      <c:valAx>
        <c:axId val="42325798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25644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4.81</c:v>
                </c:pt>
                <c:pt idx="1">
                  <c:v>4.71</c:v>
                </c:pt>
                <c:pt idx="2">
                  <c:v>4.4</c:v>
                </c:pt>
              </c:numCache>
            </c:numRef>
          </c:val>
        </c:ser>
        <c:dLbls>
          <c:showLegendKey val="0"/>
          <c:showVal val="0"/>
          <c:showCatName val="0"/>
          <c:showSerName val="0"/>
          <c:showPercent val="0"/>
          <c:showBubbleSize val="0"/>
        </c:dLbls>
        <c:gapWidth val="80"/>
        <c:axId val="423364480"/>
        <c:axId val="423366016"/>
      </c:barChart>
      <c:catAx>
        <c:axId val="42336448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366016"/>
        <c:crosses val="autoZero"/>
        <c:auto val="1"/>
        <c:lblAlgn val="ctr"/>
        <c:lblOffset val="100"/>
        <c:tickLblSkip val="1"/>
        <c:noMultiLvlLbl val="0"/>
      </c:catAx>
      <c:valAx>
        <c:axId val="423366016"/>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36448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994738740612438"/>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很愿意</c:v>
                </c:pt>
                <c:pt idx="1">
                  <c:v>愿意</c:v>
                </c:pt>
              </c:strCache>
            </c:strRef>
          </c:cat>
          <c:val>
            <c:numRef>
              <c:f>Sheet1!$B$2:$B$3</c:f>
              <c:numCache>
                <c:formatCode>0.0%</c:formatCode>
                <c:ptCount val="2"/>
                <c:pt idx="0">
                  <c:v>0.690000000000001</c:v>
                </c:pt>
                <c:pt idx="1">
                  <c:v>0.310000000000001</c:v>
                </c:pt>
              </c:numCache>
            </c:numRef>
          </c:val>
        </c:ser>
        <c:dLbls>
          <c:showLegendKey val="0"/>
          <c:showVal val="0"/>
          <c:showCatName val="0"/>
          <c:showSerName val="0"/>
          <c:showPercent val="0"/>
          <c:showBubbleSize val="0"/>
        </c:dLbls>
        <c:gapWidth val="80"/>
        <c:axId val="423239040"/>
        <c:axId val="423335040"/>
      </c:barChart>
      <c:catAx>
        <c:axId val="4232390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335040"/>
        <c:crosses val="autoZero"/>
        <c:auto val="1"/>
        <c:lblAlgn val="ctr"/>
        <c:lblOffset val="100"/>
        <c:tickLblSkip val="1"/>
        <c:noMultiLvlLbl val="0"/>
      </c:catAx>
      <c:valAx>
        <c:axId val="42333504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2390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4.88</c:v>
                </c:pt>
                <c:pt idx="1">
                  <c:v>4.62</c:v>
                </c:pt>
                <c:pt idx="2">
                  <c:v>4.4</c:v>
                </c:pt>
              </c:numCache>
            </c:numRef>
          </c:val>
        </c:ser>
        <c:dLbls>
          <c:showLegendKey val="0"/>
          <c:showVal val="0"/>
          <c:showCatName val="0"/>
          <c:showSerName val="0"/>
          <c:showPercent val="0"/>
          <c:showBubbleSize val="0"/>
        </c:dLbls>
        <c:gapWidth val="80"/>
        <c:axId val="423535744"/>
        <c:axId val="423537280"/>
      </c:barChart>
      <c:catAx>
        <c:axId val="42353574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537280"/>
        <c:crosses val="autoZero"/>
        <c:auto val="1"/>
        <c:lblAlgn val="ctr"/>
        <c:lblOffset val="100"/>
        <c:tickLblSkip val="1"/>
        <c:noMultiLvlLbl val="0"/>
      </c:catAx>
      <c:valAx>
        <c:axId val="42353728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53574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829654134751935"/>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0.381000000000001</c:v>
                </c:pt>
                <c:pt idx="1">
                  <c:v>0.5</c:v>
                </c:pt>
                <c:pt idx="2">
                  <c:v>0.071</c:v>
                </c:pt>
                <c:pt idx="3">
                  <c:v>0.048</c:v>
                </c:pt>
              </c:numCache>
            </c:numRef>
          </c:val>
        </c:ser>
        <c:dLbls>
          <c:showLegendKey val="0"/>
          <c:showVal val="0"/>
          <c:showCatName val="0"/>
          <c:showSerName val="0"/>
          <c:showPercent val="0"/>
          <c:showBubbleSize val="0"/>
        </c:dLbls>
        <c:gapWidth val="80"/>
        <c:axId val="423303808"/>
        <c:axId val="423571840"/>
      </c:barChart>
      <c:catAx>
        <c:axId val="42330380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571840"/>
        <c:crosses val="autoZero"/>
        <c:auto val="1"/>
        <c:lblAlgn val="ctr"/>
        <c:lblOffset val="100"/>
        <c:tickLblSkip val="1"/>
        <c:noMultiLvlLbl val="0"/>
      </c:catAx>
      <c:valAx>
        <c:axId val="42357184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303808"/>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4.44</c:v>
                </c:pt>
                <c:pt idx="1">
                  <c:v>4.1</c:v>
                </c:pt>
                <c:pt idx="2">
                  <c:v>4</c:v>
                </c:pt>
              </c:numCache>
            </c:numRef>
          </c:val>
        </c:ser>
        <c:dLbls>
          <c:showLegendKey val="0"/>
          <c:showVal val="0"/>
          <c:showCatName val="0"/>
          <c:showSerName val="0"/>
          <c:showPercent val="0"/>
          <c:showBubbleSize val="0"/>
        </c:dLbls>
        <c:gapWidth val="80"/>
        <c:axId val="423506304"/>
        <c:axId val="423507840"/>
      </c:barChart>
      <c:catAx>
        <c:axId val="42350630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507840"/>
        <c:crosses val="autoZero"/>
        <c:auto val="1"/>
        <c:lblAlgn val="ctr"/>
        <c:lblOffset val="100"/>
        <c:tickLblSkip val="1"/>
        <c:noMultiLvlLbl val="0"/>
      </c:catAx>
      <c:valAx>
        <c:axId val="423507840"/>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50630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3"/>
          <c:w val="0.91606940981907"/>
          <c:h val="0.78613646777438"/>
        </c:manualLayout>
      </c:layout>
      <c:barChart>
        <c:barDir val="col"/>
        <c:grouping val="clustered"/>
        <c:varyColors val="0"/>
        <c:ser>
          <c:idx val="0"/>
          <c:order val="0"/>
          <c:tx>
            <c:strRef>
              <c:f>Sheet1!$B$1</c:f>
              <c:strCache>
                <c:ptCount val="1"/>
                <c:pt idx="0">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0.619000000000002</c:v>
                </c:pt>
                <c:pt idx="1">
                  <c:v>0.333000000000001</c:v>
                </c:pt>
                <c:pt idx="2">
                  <c:v>0.024</c:v>
                </c:pt>
                <c:pt idx="3">
                  <c:v>0.024</c:v>
                </c:pt>
              </c:numCache>
            </c:numRef>
          </c:val>
        </c:ser>
        <c:dLbls>
          <c:showLegendKey val="0"/>
          <c:showVal val="0"/>
          <c:showCatName val="0"/>
          <c:showSerName val="0"/>
          <c:showPercent val="0"/>
          <c:showBubbleSize val="0"/>
        </c:dLbls>
        <c:gapWidth val="80"/>
        <c:axId val="423712640"/>
        <c:axId val="423714176"/>
      </c:barChart>
      <c:catAx>
        <c:axId val="423712640"/>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714176"/>
        <c:crosses val="autoZero"/>
        <c:auto val="1"/>
        <c:lblAlgn val="ctr"/>
        <c:lblOffset val="100"/>
        <c:tickLblSkip val="1"/>
        <c:noMultiLvlLbl val="0"/>
      </c:catAx>
      <c:valAx>
        <c:axId val="4237141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71264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41747794744941"/>
          <c:y val="0.0401175056369986"/>
          <c:w val="0.858914128735463"/>
          <c:h val="0.734370094988643"/>
        </c:manualLayout>
      </c:layout>
      <c:barChart>
        <c:barDir val="col"/>
        <c:grouping val="clustered"/>
        <c:varyColors val="0"/>
        <c:ser>
          <c:idx val="0"/>
          <c:order val="0"/>
          <c:tx>
            <c:strRef>
              <c:f>Sheet1!$B$1</c:f>
              <c:strCache>
                <c:ptCount val="1"/>
                <c:pt idx="0">
                  <c:v/>
                </c:pt>
              </c:strCache>
            </c:strRef>
          </c:tx>
          <c:invertIfNegative val="0"/>
          <c:dLbls>
            <c:numFmt formatCode="#,##0.00_);\(#,##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4.75</c:v>
                </c:pt>
                <c:pt idx="1">
                  <c:v>4.43</c:v>
                </c:pt>
                <c:pt idx="2">
                  <c:v>4.4</c:v>
                </c:pt>
              </c:numCache>
            </c:numRef>
          </c:val>
        </c:ser>
        <c:dLbls>
          <c:showLegendKey val="0"/>
          <c:showVal val="0"/>
          <c:showCatName val="0"/>
          <c:showSerName val="0"/>
          <c:showPercent val="0"/>
          <c:showBubbleSize val="0"/>
        </c:dLbls>
        <c:gapWidth val="80"/>
        <c:axId val="423726464"/>
        <c:axId val="423752832"/>
      </c:barChart>
      <c:catAx>
        <c:axId val="423726464"/>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752832"/>
        <c:crosses val="autoZero"/>
        <c:auto val="1"/>
        <c:lblAlgn val="ctr"/>
        <c:lblOffset val="100"/>
        <c:tickLblSkip val="1"/>
        <c:noMultiLvlLbl val="0"/>
      </c:catAx>
      <c:valAx>
        <c:axId val="423752832"/>
        <c:scaling>
          <c:orientation val="minMax"/>
        </c:scaling>
        <c:delete val="0"/>
        <c:axPos val="l"/>
        <c:majorGridlines/>
        <c:numFmt formatCode="0.00_);\(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372646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31"/>
    <customShpInfo spid="_x0000_s1028"/>
    <customShpInfo spid="_x0000_s1030"/>
    <customShpInfo spid="_x0000_s102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281F74-C86C-498F-BAB3-9ECC39CCF226}">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202</Pages>
  <Words>12955</Words>
  <Characters>73846</Characters>
  <Lines>615</Lines>
  <Paragraphs>173</Paragraphs>
  <ScaleCrop>false</ScaleCrop>
  <LinksUpToDate>false</LinksUpToDate>
  <CharactersWithSpaces>86628</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2015-04-19T12:19:00Z</dcterms:created>
  <dc:creator>Sky123.Org</dc:creator>
  <cp:lastModifiedBy>Administrator</cp:lastModifiedBy>
  <cp:lastPrinted>2013-01-04T15:39:00Z</cp:lastPrinted>
  <dcterms:modified xsi:type="dcterms:W3CDTF">2016-12-30T09:46:03Z</dcterms:modified>
  <dc:title>北京信息职业技术学院2012届毕业生就业状况调查报告</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